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83ADD" w14:textId="77777777" w:rsidR="00E96F6D" w:rsidRDefault="006E21CE">
      <w:pPr>
        <w:tabs>
          <w:tab w:val="right" w:pos="9351"/>
        </w:tabs>
        <w:spacing w:after="59" w:line="259" w:lineRule="auto"/>
        <w:ind w:left="0" w:firstLine="0"/>
      </w:pPr>
      <w:r>
        <w:rPr>
          <w:noProof/>
        </w:rPr>
        <w:drawing>
          <wp:inline distT="0" distB="0" distL="0" distR="0" wp14:anchorId="36ED7B52" wp14:editId="4FA0B901">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4F77154A" w14:textId="77777777" w:rsidR="00E96F6D" w:rsidRDefault="006E21CE">
      <w:pPr>
        <w:spacing w:after="2" w:line="259" w:lineRule="auto"/>
        <w:ind w:left="0" w:firstLine="0"/>
      </w:pPr>
      <w:r>
        <w:t xml:space="preserve"> </w:t>
      </w:r>
      <w:r>
        <w:rPr>
          <w:rFonts w:ascii="Times New Roman" w:eastAsia="Times New Roman" w:hAnsi="Times New Roman" w:cs="Times New Roman"/>
        </w:rPr>
        <w:t xml:space="preserve"> </w:t>
      </w:r>
    </w:p>
    <w:p w14:paraId="26788C07" w14:textId="60C52BD2" w:rsidR="00E96F6D" w:rsidRDefault="006E21CE">
      <w:pPr>
        <w:tabs>
          <w:tab w:val="right" w:pos="9351"/>
        </w:tabs>
        <w:spacing w:after="2" w:line="259" w:lineRule="auto"/>
        <w:ind w:left="-10" w:firstLine="0"/>
      </w:pPr>
      <w:r>
        <w:t>Our ref: 568371</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79A0C1B4" w14:textId="072F1300" w:rsidR="00E96F6D" w:rsidRDefault="006E21CE">
      <w:pPr>
        <w:tabs>
          <w:tab w:val="right" w:pos="9351"/>
        </w:tabs>
        <w:ind w:left="-10" w:firstLine="0"/>
      </w:pPr>
      <w:r>
        <w:t xml:space="preserve"> November 2023</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139FFA13" w14:textId="55B01FEA" w:rsidR="00E96F6D" w:rsidRDefault="006E21CE" w:rsidP="006E21CE">
      <w:pPr>
        <w:tabs>
          <w:tab w:val="right" w:pos="9351"/>
        </w:tabs>
        <w:ind w:left="-10" w:firstLine="0"/>
      </w:pPr>
      <w:r>
        <w:t xml:space="preserve"> </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7B495C80" w14:textId="77777777" w:rsidR="00E96F6D" w:rsidRDefault="006E21CE">
      <w:pPr>
        <w:spacing w:after="0" w:line="259" w:lineRule="auto"/>
        <w:ind w:left="0" w:firstLine="0"/>
        <w:jc w:val="right"/>
      </w:pPr>
      <w:r>
        <w:t xml:space="preserve"> </w:t>
      </w:r>
      <w:r>
        <w:rPr>
          <w:rFonts w:ascii="Times New Roman" w:eastAsia="Times New Roman" w:hAnsi="Times New Roman" w:cs="Times New Roman"/>
        </w:rPr>
        <w:t xml:space="preserve"> </w:t>
      </w:r>
    </w:p>
    <w:p w14:paraId="486EA425" w14:textId="77777777" w:rsidR="00E96F6D" w:rsidRDefault="006E21CE">
      <w:pPr>
        <w:spacing w:after="0" w:line="259" w:lineRule="auto"/>
        <w:ind w:left="0" w:firstLine="0"/>
      </w:pPr>
      <w:r>
        <w:t xml:space="preserve"> </w:t>
      </w:r>
      <w:r>
        <w:rPr>
          <w:rFonts w:ascii="Times New Roman" w:eastAsia="Times New Roman" w:hAnsi="Times New Roman" w:cs="Times New Roman"/>
        </w:rPr>
        <w:t xml:space="preserve"> </w:t>
      </w:r>
    </w:p>
    <w:p w14:paraId="579BECD7" w14:textId="77777777" w:rsidR="00E96F6D" w:rsidRDefault="006E21CE">
      <w:pPr>
        <w:spacing w:after="0" w:line="259" w:lineRule="auto"/>
        <w:ind w:left="0" w:firstLine="0"/>
      </w:pPr>
      <w:r>
        <w:t xml:space="preserve"> </w:t>
      </w:r>
      <w:r>
        <w:rPr>
          <w:rFonts w:ascii="Times New Roman" w:eastAsia="Times New Roman" w:hAnsi="Times New Roman" w:cs="Times New Roman"/>
        </w:rPr>
        <w:t xml:space="preserve"> </w:t>
      </w:r>
    </w:p>
    <w:p w14:paraId="19D5585A" w14:textId="77777777" w:rsidR="00E96F6D" w:rsidRDefault="006E21CE" w:rsidP="006E21CE">
      <w:pPr>
        <w:spacing w:after="2" w:line="259" w:lineRule="auto"/>
        <w:ind w:left="0" w:firstLine="0"/>
      </w:pPr>
      <w:r>
        <w:rPr>
          <w:b/>
        </w:rPr>
        <w:t>Freedom of Information Act 2000</w:t>
      </w:r>
      <w:r>
        <w:rPr>
          <w:rFonts w:ascii="Times New Roman" w:eastAsia="Times New Roman" w:hAnsi="Times New Roman" w:cs="Times New Roman"/>
        </w:rPr>
        <w:t xml:space="preserve"> </w:t>
      </w:r>
    </w:p>
    <w:p w14:paraId="28AB233A" w14:textId="77777777" w:rsidR="00E96F6D" w:rsidRDefault="006E21CE">
      <w:pPr>
        <w:spacing w:after="0" w:line="259" w:lineRule="auto"/>
        <w:ind w:left="0" w:firstLine="0"/>
      </w:pPr>
      <w:r>
        <w:t xml:space="preserve"> </w:t>
      </w:r>
      <w:r>
        <w:rPr>
          <w:rFonts w:ascii="Times New Roman" w:eastAsia="Times New Roman" w:hAnsi="Times New Roman" w:cs="Times New Roman"/>
        </w:rPr>
        <w:t xml:space="preserve"> </w:t>
      </w:r>
    </w:p>
    <w:p w14:paraId="48733A31" w14:textId="77777777" w:rsidR="00E96F6D" w:rsidRDefault="006E21CE">
      <w:pPr>
        <w:ind w:left="0" w:right="13"/>
      </w:pPr>
      <w:r>
        <w:t xml:space="preserve">This request is being handled under the Freedom of Information Act 2000. We previously issued you with </w:t>
      </w:r>
      <w:proofErr w:type="gramStart"/>
      <w:r>
        <w:t>a fees</w:t>
      </w:r>
      <w:proofErr w:type="gramEnd"/>
      <w:r>
        <w:t xml:space="preserve"> </w:t>
      </w:r>
      <w:r>
        <w:t>notice and I understand that issues concerning the costs associated with the request have been satisfactorily concluded.</w:t>
      </w:r>
      <w:r>
        <w:t xml:space="preserve"> </w:t>
      </w:r>
    </w:p>
    <w:p w14:paraId="078C46A4" w14:textId="77777777" w:rsidR="00E96F6D" w:rsidRDefault="006E21CE">
      <w:pPr>
        <w:spacing w:after="0" w:line="259" w:lineRule="auto"/>
        <w:ind w:left="0" w:firstLine="0"/>
      </w:pPr>
      <w:r>
        <w:t xml:space="preserve"> </w:t>
      </w:r>
      <w:r>
        <w:rPr>
          <w:rFonts w:ascii="Times New Roman" w:eastAsia="Times New Roman" w:hAnsi="Times New Roman" w:cs="Times New Roman"/>
        </w:rPr>
        <w:t xml:space="preserve"> </w:t>
      </w:r>
    </w:p>
    <w:p w14:paraId="2B7EB714" w14:textId="77777777" w:rsidR="00E96F6D" w:rsidRDefault="006E21CE">
      <w:pPr>
        <w:ind w:left="0" w:right="13"/>
      </w:pPr>
      <w:r>
        <w:t xml:space="preserve">I can confirm that the information requested is held by Betsi Cadwaladr University Health Board. Please find our response below. </w:t>
      </w:r>
      <w:r>
        <w:t xml:space="preserve"> </w:t>
      </w:r>
    </w:p>
    <w:p w14:paraId="37424844" w14:textId="77777777" w:rsidR="00E96F6D" w:rsidRDefault="006E21CE">
      <w:pPr>
        <w:spacing w:after="0" w:line="259" w:lineRule="auto"/>
        <w:ind w:left="0" w:firstLine="0"/>
      </w:pPr>
      <w:r>
        <w:t xml:space="preserve"> </w:t>
      </w:r>
    </w:p>
    <w:p w14:paraId="04DB35EB" w14:textId="77777777" w:rsidR="00E96F6D" w:rsidRDefault="006E21CE">
      <w:pPr>
        <w:spacing w:after="2" w:line="259" w:lineRule="auto"/>
        <w:ind w:left="0"/>
      </w:pPr>
      <w:r>
        <w:rPr>
          <w:b/>
        </w:rPr>
        <w:t>Your request and our response:</w:t>
      </w:r>
      <w:r>
        <w:rPr>
          <w:b/>
        </w:rPr>
        <w:t xml:space="preserve"> </w:t>
      </w:r>
    </w:p>
    <w:p w14:paraId="68B02A59" w14:textId="77777777" w:rsidR="00E96F6D" w:rsidRDefault="006E21CE">
      <w:pPr>
        <w:spacing w:after="0" w:line="259" w:lineRule="auto"/>
        <w:ind w:left="0" w:firstLine="0"/>
      </w:pPr>
      <w:r>
        <w:t xml:space="preserve"> </w:t>
      </w:r>
    </w:p>
    <w:p w14:paraId="49557817" w14:textId="77777777" w:rsidR="00E96F6D" w:rsidRDefault="006E21CE">
      <w:pPr>
        <w:ind w:left="0" w:right="13"/>
      </w:pPr>
      <w:r>
        <w:t>I am writing to request the following information under the Freedom of Information Act (2000).</w:t>
      </w:r>
      <w:r>
        <w:t xml:space="preserve"> </w:t>
      </w:r>
    </w:p>
    <w:p w14:paraId="6EECE970" w14:textId="77777777" w:rsidR="00E96F6D" w:rsidRDefault="006E21CE">
      <w:pPr>
        <w:spacing w:after="0" w:line="259" w:lineRule="auto"/>
        <w:ind w:left="0" w:firstLine="0"/>
      </w:pPr>
      <w:r>
        <w:t xml:space="preserve"> </w:t>
      </w:r>
    </w:p>
    <w:p w14:paraId="11C45AC9" w14:textId="77777777" w:rsidR="00E96F6D" w:rsidRDefault="006E21CE">
      <w:pPr>
        <w:ind w:left="0" w:right="13"/>
      </w:pPr>
      <w:r>
        <w:t>For the years 2018, 2019, 2020, 2021 and 2022 please provide the following broken down by calendar year.</w:t>
      </w:r>
      <w:r>
        <w:t xml:space="preserve"> </w:t>
      </w:r>
    </w:p>
    <w:p w14:paraId="34DB967B" w14:textId="77777777" w:rsidR="00E96F6D" w:rsidRDefault="006E21CE">
      <w:pPr>
        <w:spacing w:after="0" w:line="259" w:lineRule="auto"/>
        <w:ind w:left="0" w:firstLine="0"/>
      </w:pPr>
      <w:r>
        <w:t xml:space="preserve"> </w:t>
      </w:r>
    </w:p>
    <w:p w14:paraId="6728AEC5" w14:textId="77777777" w:rsidR="00E96F6D" w:rsidRDefault="006E21CE">
      <w:pPr>
        <w:ind w:left="0" w:right="13"/>
      </w:pPr>
      <w:r>
        <w:t xml:space="preserve">Please </w:t>
      </w:r>
      <w:r>
        <w:t>further segregate the data by children and young people (CYP) and Adults.</w:t>
      </w:r>
      <w:r>
        <w:t xml:space="preserve"> </w:t>
      </w:r>
    </w:p>
    <w:p w14:paraId="1EC59D5A" w14:textId="77777777" w:rsidR="00E96F6D" w:rsidRDefault="006E21CE">
      <w:pPr>
        <w:spacing w:after="0" w:line="259" w:lineRule="auto"/>
        <w:ind w:left="0" w:firstLine="0"/>
      </w:pPr>
      <w:r>
        <w:t xml:space="preserve"> </w:t>
      </w:r>
    </w:p>
    <w:p w14:paraId="1E323ABF" w14:textId="77777777" w:rsidR="00E96F6D" w:rsidRDefault="006E21CE">
      <w:pPr>
        <w:ind w:left="0" w:right="13"/>
      </w:pPr>
      <w:r>
        <w:t>If it is not possible to provide the information requested due to the information exceeding the time or cost limits identified in Section 12, please provide the information in par</w:t>
      </w:r>
      <w:r>
        <w:t>t and chronologically with a priority placed upon 2022 data.</w:t>
      </w:r>
      <w:r>
        <w:t xml:space="preserve"> </w:t>
      </w:r>
    </w:p>
    <w:p w14:paraId="08047BF2" w14:textId="77777777" w:rsidR="00E96F6D" w:rsidRDefault="006E21CE">
      <w:pPr>
        <w:spacing w:after="0" w:line="259" w:lineRule="auto"/>
        <w:ind w:left="0" w:firstLine="0"/>
      </w:pPr>
      <w:r>
        <w:t xml:space="preserve"> </w:t>
      </w:r>
    </w:p>
    <w:p w14:paraId="2F139C20" w14:textId="77777777" w:rsidR="00E96F6D" w:rsidRDefault="006E21CE">
      <w:pPr>
        <w:spacing w:after="2" w:line="259" w:lineRule="auto"/>
        <w:ind w:left="0"/>
      </w:pPr>
      <w:r>
        <w:rPr>
          <w:b/>
        </w:rPr>
        <w:t>1.</w:t>
      </w:r>
      <w:r>
        <w:rPr>
          <w:b/>
        </w:rPr>
        <w:t xml:space="preserve"> </w:t>
      </w:r>
      <w:r>
        <w:rPr>
          <w:b/>
        </w:rPr>
        <w:t>Number of people who sought / were referred for an ADHD diagnosis.</w:t>
      </w:r>
      <w:r>
        <w:rPr>
          <w:b/>
        </w:rPr>
        <w:t xml:space="preserve"> </w:t>
      </w:r>
    </w:p>
    <w:p w14:paraId="1E594DB8" w14:textId="77777777" w:rsidR="00E96F6D" w:rsidRDefault="006E21CE">
      <w:pPr>
        <w:spacing w:after="0" w:line="259" w:lineRule="auto"/>
        <w:ind w:left="0" w:firstLine="0"/>
      </w:pPr>
      <w:r>
        <w:t xml:space="preserve"> </w:t>
      </w:r>
    </w:p>
    <w:p w14:paraId="63075A5E" w14:textId="77777777" w:rsidR="00E96F6D" w:rsidRDefault="006E21CE">
      <w:pPr>
        <w:spacing w:after="0" w:line="259" w:lineRule="auto"/>
        <w:ind w:left="358"/>
      </w:pPr>
      <w:r>
        <w:rPr>
          <w:i/>
        </w:rPr>
        <w:t>Children:</w:t>
      </w:r>
      <w:r>
        <w:rPr>
          <w:i/>
        </w:rPr>
        <w:t xml:space="preserve"> </w:t>
      </w:r>
    </w:p>
    <w:p w14:paraId="2C22AFC7" w14:textId="77777777" w:rsidR="00E96F6D" w:rsidRDefault="006E21CE">
      <w:pPr>
        <w:spacing w:after="0" w:line="259" w:lineRule="auto"/>
        <w:ind w:left="0" w:firstLine="0"/>
      </w:pPr>
      <w:r>
        <w:t xml:space="preserve"> </w:t>
      </w:r>
    </w:p>
    <w:p w14:paraId="49BE20C9" w14:textId="77777777" w:rsidR="00E96F6D" w:rsidRDefault="006E21CE">
      <w:pPr>
        <w:ind w:left="0" w:right="13"/>
      </w:pPr>
      <w:r>
        <w:t xml:space="preserve">Betsi Cadwaladr University Health Board’s (BCUHB) Children’s Neurodevelopment service has one </w:t>
      </w:r>
      <w:r>
        <w:t>waiting list for all assessments (</w:t>
      </w:r>
      <w:proofErr w:type="gramStart"/>
      <w:r>
        <w:t>Autism Spectrum Disorder</w:t>
      </w:r>
      <w:proofErr w:type="gramEnd"/>
      <w:r>
        <w:t xml:space="preserve"> (ASD), Attention Deficit Hyperactivity Disorder (ADHD) and dual assessments). We are unable to split this down to accurately provide data. However, we can provide the total number of referrals in t</w:t>
      </w:r>
      <w:r>
        <w:t xml:space="preserve">o the service for ADHD, ASD and dual assessments by year, which is shown in the table below. </w:t>
      </w:r>
      <w:r>
        <w:t xml:space="preserve"> </w:t>
      </w:r>
    </w:p>
    <w:p w14:paraId="1DFCA167" w14:textId="77777777" w:rsidR="00E96F6D" w:rsidRDefault="006E21CE">
      <w:pPr>
        <w:spacing w:after="0" w:line="259" w:lineRule="auto"/>
        <w:ind w:left="0" w:firstLine="0"/>
      </w:pPr>
      <w:r>
        <w:t xml:space="preserve"> </w:t>
      </w:r>
    </w:p>
    <w:tbl>
      <w:tblPr>
        <w:tblStyle w:val="TableGrid"/>
        <w:tblW w:w="9502" w:type="dxa"/>
        <w:tblInd w:w="-108" w:type="dxa"/>
        <w:tblCellMar>
          <w:top w:w="58" w:type="dxa"/>
          <w:left w:w="0" w:type="dxa"/>
          <w:bottom w:w="0" w:type="dxa"/>
          <w:right w:w="105" w:type="dxa"/>
        </w:tblCellMar>
        <w:tblLook w:val="04A0" w:firstRow="1" w:lastRow="0" w:firstColumn="1" w:lastColumn="0" w:noHBand="0" w:noVBand="1"/>
      </w:tblPr>
      <w:tblGrid>
        <w:gridCol w:w="1357"/>
        <w:gridCol w:w="1735"/>
        <w:gridCol w:w="1357"/>
        <w:gridCol w:w="1358"/>
        <w:gridCol w:w="1358"/>
        <w:gridCol w:w="1358"/>
        <w:gridCol w:w="979"/>
      </w:tblGrid>
      <w:tr w:rsidR="00E96F6D" w14:paraId="55211EA4" w14:textId="77777777">
        <w:trPr>
          <w:trHeight w:val="298"/>
        </w:trPr>
        <w:tc>
          <w:tcPr>
            <w:tcW w:w="1357" w:type="dxa"/>
            <w:tcBorders>
              <w:top w:val="single" w:sz="12" w:space="0" w:color="000000"/>
              <w:left w:val="nil"/>
              <w:bottom w:val="single" w:sz="6" w:space="0" w:color="000000"/>
              <w:right w:val="single" w:sz="6" w:space="0" w:color="000000"/>
            </w:tcBorders>
          </w:tcPr>
          <w:p w14:paraId="7FC8B2D9" w14:textId="77777777" w:rsidR="00E96F6D" w:rsidRDefault="006E21CE">
            <w:pPr>
              <w:spacing w:after="0" w:line="259" w:lineRule="auto"/>
              <w:ind w:left="105" w:firstLine="0"/>
              <w:jc w:val="center"/>
            </w:pPr>
            <w:r>
              <w:rPr>
                <w:b/>
              </w:rPr>
              <w:t>Year</w:t>
            </w:r>
            <w:r>
              <w:rPr>
                <w:b/>
              </w:rPr>
              <w:t xml:space="preserve"> </w:t>
            </w:r>
          </w:p>
        </w:tc>
        <w:tc>
          <w:tcPr>
            <w:tcW w:w="1735" w:type="dxa"/>
            <w:tcBorders>
              <w:top w:val="single" w:sz="12" w:space="0" w:color="000000"/>
              <w:left w:val="single" w:sz="6" w:space="0" w:color="000000"/>
              <w:bottom w:val="single" w:sz="6" w:space="0" w:color="000000"/>
              <w:right w:val="nil"/>
            </w:tcBorders>
          </w:tcPr>
          <w:p w14:paraId="51822525" w14:textId="77777777" w:rsidR="00E96F6D" w:rsidRDefault="006E21CE">
            <w:pPr>
              <w:spacing w:after="0" w:line="259" w:lineRule="auto"/>
              <w:ind w:left="378" w:firstLine="0"/>
            </w:pPr>
            <w:r>
              <w:rPr>
                <w:b/>
              </w:rPr>
              <w:t>17/18</w:t>
            </w:r>
            <w:r>
              <w:rPr>
                <w:b/>
              </w:rPr>
              <w:t xml:space="preserve"> </w:t>
            </w:r>
          </w:p>
        </w:tc>
        <w:tc>
          <w:tcPr>
            <w:tcW w:w="1357" w:type="dxa"/>
            <w:tcBorders>
              <w:top w:val="single" w:sz="12" w:space="0" w:color="000000"/>
              <w:left w:val="nil"/>
              <w:bottom w:val="single" w:sz="6" w:space="0" w:color="000000"/>
              <w:right w:val="nil"/>
            </w:tcBorders>
          </w:tcPr>
          <w:p w14:paraId="08D7CF17" w14:textId="77777777" w:rsidR="00E96F6D" w:rsidRDefault="006E21CE">
            <w:pPr>
              <w:spacing w:after="0" w:line="259" w:lineRule="auto"/>
              <w:ind w:left="0" w:firstLine="0"/>
            </w:pPr>
            <w:r>
              <w:rPr>
                <w:b/>
              </w:rPr>
              <w:t>18/19</w:t>
            </w:r>
            <w:r>
              <w:rPr>
                <w:b/>
              </w:rPr>
              <w:t xml:space="preserve"> </w:t>
            </w:r>
          </w:p>
        </w:tc>
        <w:tc>
          <w:tcPr>
            <w:tcW w:w="1358" w:type="dxa"/>
            <w:tcBorders>
              <w:top w:val="single" w:sz="12" w:space="0" w:color="000000"/>
              <w:left w:val="nil"/>
              <w:bottom w:val="single" w:sz="6" w:space="0" w:color="000000"/>
              <w:right w:val="nil"/>
            </w:tcBorders>
          </w:tcPr>
          <w:p w14:paraId="5A30663E" w14:textId="77777777" w:rsidR="00E96F6D" w:rsidRDefault="006E21CE">
            <w:pPr>
              <w:spacing w:after="0" w:line="259" w:lineRule="auto"/>
              <w:ind w:left="0" w:firstLine="0"/>
            </w:pPr>
            <w:r>
              <w:rPr>
                <w:b/>
              </w:rPr>
              <w:t>19/20</w:t>
            </w:r>
            <w:r>
              <w:rPr>
                <w:b/>
              </w:rPr>
              <w:t xml:space="preserve"> </w:t>
            </w:r>
          </w:p>
        </w:tc>
        <w:tc>
          <w:tcPr>
            <w:tcW w:w="1358" w:type="dxa"/>
            <w:tcBorders>
              <w:top w:val="single" w:sz="12" w:space="0" w:color="000000"/>
              <w:left w:val="nil"/>
              <w:bottom w:val="single" w:sz="6" w:space="0" w:color="000000"/>
              <w:right w:val="nil"/>
            </w:tcBorders>
          </w:tcPr>
          <w:p w14:paraId="0DCF3DE8" w14:textId="77777777" w:rsidR="00E96F6D" w:rsidRDefault="006E21CE">
            <w:pPr>
              <w:spacing w:after="0" w:line="259" w:lineRule="auto"/>
              <w:ind w:left="0" w:firstLine="0"/>
            </w:pPr>
            <w:r>
              <w:rPr>
                <w:b/>
              </w:rPr>
              <w:t>20/21</w:t>
            </w:r>
            <w:r>
              <w:rPr>
                <w:b/>
              </w:rPr>
              <w:t xml:space="preserve"> </w:t>
            </w:r>
          </w:p>
        </w:tc>
        <w:tc>
          <w:tcPr>
            <w:tcW w:w="1358" w:type="dxa"/>
            <w:tcBorders>
              <w:top w:val="single" w:sz="12" w:space="0" w:color="000000"/>
              <w:left w:val="nil"/>
              <w:bottom w:val="single" w:sz="6" w:space="0" w:color="000000"/>
              <w:right w:val="nil"/>
            </w:tcBorders>
          </w:tcPr>
          <w:p w14:paraId="6286978A" w14:textId="77777777" w:rsidR="00E96F6D" w:rsidRDefault="006E21CE">
            <w:pPr>
              <w:spacing w:after="0" w:line="259" w:lineRule="auto"/>
              <w:ind w:left="0" w:firstLine="0"/>
            </w:pPr>
            <w:r>
              <w:rPr>
                <w:b/>
              </w:rPr>
              <w:t>21/22</w:t>
            </w:r>
            <w:r>
              <w:rPr>
                <w:b/>
              </w:rPr>
              <w:t xml:space="preserve"> </w:t>
            </w:r>
          </w:p>
        </w:tc>
        <w:tc>
          <w:tcPr>
            <w:tcW w:w="979" w:type="dxa"/>
            <w:tcBorders>
              <w:top w:val="single" w:sz="12" w:space="0" w:color="000000"/>
              <w:left w:val="nil"/>
              <w:bottom w:val="single" w:sz="6" w:space="0" w:color="000000"/>
              <w:right w:val="nil"/>
            </w:tcBorders>
          </w:tcPr>
          <w:p w14:paraId="6070740E" w14:textId="77777777" w:rsidR="00E96F6D" w:rsidRDefault="006E21CE">
            <w:pPr>
              <w:spacing w:after="0" w:line="259" w:lineRule="auto"/>
              <w:ind w:left="0" w:firstLine="0"/>
            </w:pPr>
            <w:r>
              <w:rPr>
                <w:b/>
              </w:rPr>
              <w:t>22/23</w:t>
            </w:r>
            <w:r>
              <w:rPr>
                <w:b/>
              </w:rPr>
              <w:t xml:space="preserve"> </w:t>
            </w:r>
          </w:p>
        </w:tc>
      </w:tr>
      <w:tr w:rsidR="00E96F6D" w14:paraId="2C1B4143" w14:textId="77777777">
        <w:trPr>
          <w:trHeight w:val="1402"/>
        </w:trPr>
        <w:tc>
          <w:tcPr>
            <w:tcW w:w="1357" w:type="dxa"/>
            <w:tcBorders>
              <w:top w:val="single" w:sz="6" w:space="0" w:color="000000"/>
              <w:left w:val="nil"/>
              <w:bottom w:val="single" w:sz="12" w:space="0" w:color="000000"/>
              <w:right w:val="single" w:sz="6" w:space="0" w:color="000000"/>
            </w:tcBorders>
          </w:tcPr>
          <w:p w14:paraId="72A16672" w14:textId="77777777" w:rsidR="00E96F6D" w:rsidRDefault="006E21CE">
            <w:pPr>
              <w:spacing w:after="0" w:line="259" w:lineRule="auto"/>
              <w:ind w:left="105" w:firstLine="0"/>
              <w:jc w:val="center"/>
            </w:pPr>
            <w:r>
              <w:lastRenderedPageBreak/>
              <w:t xml:space="preserve">Total </w:t>
            </w:r>
          </w:p>
          <w:p w14:paraId="34E420B2" w14:textId="77777777" w:rsidR="00E96F6D" w:rsidRDefault="006E21CE">
            <w:pPr>
              <w:spacing w:after="0" w:line="240" w:lineRule="auto"/>
              <w:ind w:left="0" w:firstLine="0"/>
              <w:jc w:val="center"/>
            </w:pPr>
            <w:r>
              <w:t xml:space="preserve">Referrals within a </w:t>
            </w:r>
          </w:p>
          <w:p w14:paraId="2EC71B1E" w14:textId="77777777" w:rsidR="00E96F6D" w:rsidRDefault="006E21CE">
            <w:pPr>
              <w:spacing w:after="0" w:line="259" w:lineRule="auto"/>
              <w:ind w:left="0" w:firstLine="0"/>
              <w:jc w:val="center"/>
            </w:pPr>
            <w:r>
              <w:t>12-month position</w:t>
            </w:r>
            <w:r>
              <w:t xml:space="preserve"> </w:t>
            </w:r>
          </w:p>
        </w:tc>
        <w:tc>
          <w:tcPr>
            <w:tcW w:w="1735" w:type="dxa"/>
            <w:tcBorders>
              <w:top w:val="single" w:sz="6" w:space="0" w:color="000000"/>
              <w:left w:val="single" w:sz="6" w:space="0" w:color="000000"/>
              <w:bottom w:val="single" w:sz="12" w:space="0" w:color="000000"/>
              <w:right w:val="nil"/>
            </w:tcBorders>
          </w:tcPr>
          <w:p w14:paraId="27680832" w14:textId="77777777" w:rsidR="00E96F6D" w:rsidRDefault="006E21CE">
            <w:pPr>
              <w:spacing w:after="0" w:line="259" w:lineRule="auto"/>
              <w:ind w:left="678" w:firstLine="0"/>
            </w:pPr>
            <w:r>
              <w:t xml:space="preserve"> </w:t>
            </w:r>
          </w:p>
          <w:p w14:paraId="5D0F25C7" w14:textId="77777777" w:rsidR="00E96F6D" w:rsidRDefault="006E21CE">
            <w:pPr>
              <w:spacing w:after="0" w:line="259" w:lineRule="auto"/>
              <w:ind w:left="108" w:firstLine="0"/>
            </w:pPr>
            <w:r>
              <w:t xml:space="preserve"> </w:t>
            </w:r>
          </w:p>
          <w:p w14:paraId="2929254D" w14:textId="77777777" w:rsidR="00E96F6D" w:rsidRDefault="006E21CE">
            <w:pPr>
              <w:spacing w:after="0" w:line="259" w:lineRule="auto"/>
              <w:ind w:left="412" w:firstLine="0"/>
            </w:pPr>
            <w:r>
              <w:t>1971</w:t>
            </w:r>
            <w:r>
              <w:t xml:space="preserve"> </w:t>
            </w:r>
          </w:p>
        </w:tc>
        <w:tc>
          <w:tcPr>
            <w:tcW w:w="1357" w:type="dxa"/>
            <w:tcBorders>
              <w:top w:val="single" w:sz="6" w:space="0" w:color="000000"/>
              <w:left w:val="nil"/>
              <w:bottom w:val="single" w:sz="12" w:space="0" w:color="000000"/>
              <w:right w:val="nil"/>
            </w:tcBorders>
          </w:tcPr>
          <w:p w14:paraId="2A88C4EE" w14:textId="77777777" w:rsidR="00E96F6D" w:rsidRDefault="006E21CE">
            <w:pPr>
              <w:spacing w:after="0" w:line="259" w:lineRule="auto"/>
              <w:ind w:left="300" w:firstLine="0"/>
            </w:pPr>
            <w:r>
              <w:t xml:space="preserve"> </w:t>
            </w:r>
          </w:p>
          <w:p w14:paraId="5BF79CA6" w14:textId="77777777" w:rsidR="00E96F6D" w:rsidRDefault="006E21CE">
            <w:pPr>
              <w:spacing w:after="0" w:line="259" w:lineRule="auto"/>
              <w:ind w:left="300" w:firstLine="0"/>
            </w:pPr>
            <w:r>
              <w:t xml:space="preserve"> </w:t>
            </w:r>
          </w:p>
          <w:p w14:paraId="4541835E" w14:textId="77777777" w:rsidR="00E96F6D" w:rsidRDefault="006E21CE">
            <w:pPr>
              <w:spacing w:after="0" w:line="259" w:lineRule="auto"/>
              <w:ind w:left="33" w:firstLine="0"/>
            </w:pPr>
            <w:r>
              <w:t>2205</w:t>
            </w:r>
            <w:r>
              <w:t xml:space="preserve"> </w:t>
            </w:r>
          </w:p>
        </w:tc>
        <w:tc>
          <w:tcPr>
            <w:tcW w:w="1358" w:type="dxa"/>
            <w:tcBorders>
              <w:top w:val="single" w:sz="6" w:space="0" w:color="000000"/>
              <w:left w:val="nil"/>
              <w:bottom w:val="single" w:sz="12" w:space="0" w:color="000000"/>
              <w:right w:val="nil"/>
            </w:tcBorders>
          </w:tcPr>
          <w:p w14:paraId="7D5978AC" w14:textId="77777777" w:rsidR="00E96F6D" w:rsidRDefault="006E21CE">
            <w:pPr>
              <w:spacing w:after="0" w:line="259" w:lineRule="auto"/>
              <w:ind w:left="300" w:firstLine="0"/>
            </w:pPr>
            <w:r>
              <w:t xml:space="preserve"> </w:t>
            </w:r>
          </w:p>
          <w:p w14:paraId="6C776248" w14:textId="77777777" w:rsidR="00E96F6D" w:rsidRDefault="006E21CE">
            <w:pPr>
              <w:spacing w:after="0" w:line="259" w:lineRule="auto"/>
              <w:ind w:left="300" w:firstLine="0"/>
            </w:pPr>
            <w:r>
              <w:t xml:space="preserve"> </w:t>
            </w:r>
          </w:p>
          <w:p w14:paraId="3B02517A" w14:textId="77777777" w:rsidR="00E96F6D" w:rsidRDefault="006E21CE">
            <w:pPr>
              <w:spacing w:after="0" w:line="259" w:lineRule="auto"/>
              <w:ind w:left="33" w:firstLine="0"/>
            </w:pPr>
            <w:r>
              <w:t>2441</w:t>
            </w:r>
            <w:r>
              <w:t xml:space="preserve"> </w:t>
            </w:r>
          </w:p>
        </w:tc>
        <w:tc>
          <w:tcPr>
            <w:tcW w:w="1358" w:type="dxa"/>
            <w:tcBorders>
              <w:top w:val="single" w:sz="6" w:space="0" w:color="000000"/>
              <w:left w:val="nil"/>
              <w:bottom w:val="single" w:sz="12" w:space="0" w:color="000000"/>
              <w:right w:val="nil"/>
            </w:tcBorders>
          </w:tcPr>
          <w:p w14:paraId="62FC8FC2" w14:textId="77777777" w:rsidR="00E96F6D" w:rsidRDefault="006E21CE">
            <w:pPr>
              <w:spacing w:after="0" w:line="259" w:lineRule="auto"/>
              <w:ind w:left="300" w:firstLine="0"/>
            </w:pPr>
            <w:r>
              <w:t xml:space="preserve"> </w:t>
            </w:r>
          </w:p>
          <w:p w14:paraId="0E23E889" w14:textId="77777777" w:rsidR="00E96F6D" w:rsidRDefault="006E21CE">
            <w:pPr>
              <w:spacing w:after="0" w:line="259" w:lineRule="auto"/>
              <w:ind w:left="300" w:firstLine="0"/>
            </w:pPr>
            <w:r>
              <w:t xml:space="preserve"> </w:t>
            </w:r>
          </w:p>
          <w:p w14:paraId="129C8832" w14:textId="77777777" w:rsidR="00E96F6D" w:rsidRDefault="006E21CE">
            <w:pPr>
              <w:spacing w:after="0" w:line="259" w:lineRule="auto"/>
              <w:ind w:left="33" w:firstLine="0"/>
            </w:pPr>
            <w:r>
              <w:t>1842</w:t>
            </w:r>
            <w:r>
              <w:t xml:space="preserve"> </w:t>
            </w:r>
          </w:p>
        </w:tc>
        <w:tc>
          <w:tcPr>
            <w:tcW w:w="1358" w:type="dxa"/>
            <w:tcBorders>
              <w:top w:val="single" w:sz="6" w:space="0" w:color="000000"/>
              <w:left w:val="nil"/>
              <w:bottom w:val="single" w:sz="12" w:space="0" w:color="000000"/>
              <w:right w:val="nil"/>
            </w:tcBorders>
          </w:tcPr>
          <w:p w14:paraId="1A219107" w14:textId="77777777" w:rsidR="00E96F6D" w:rsidRDefault="006E21CE">
            <w:pPr>
              <w:spacing w:after="0" w:line="259" w:lineRule="auto"/>
              <w:ind w:left="300" w:firstLine="0"/>
            </w:pPr>
            <w:r>
              <w:t xml:space="preserve"> </w:t>
            </w:r>
          </w:p>
          <w:p w14:paraId="14C56920" w14:textId="77777777" w:rsidR="00E96F6D" w:rsidRDefault="006E21CE">
            <w:pPr>
              <w:spacing w:after="0" w:line="259" w:lineRule="auto"/>
              <w:ind w:left="300" w:firstLine="0"/>
            </w:pPr>
            <w:r>
              <w:t xml:space="preserve"> </w:t>
            </w:r>
          </w:p>
          <w:p w14:paraId="745EB136" w14:textId="77777777" w:rsidR="00E96F6D" w:rsidRDefault="006E21CE">
            <w:pPr>
              <w:spacing w:after="0" w:line="259" w:lineRule="auto"/>
              <w:ind w:left="33" w:firstLine="0"/>
            </w:pPr>
            <w:r>
              <w:t>2848</w:t>
            </w:r>
            <w:r>
              <w:t xml:space="preserve"> </w:t>
            </w:r>
          </w:p>
        </w:tc>
        <w:tc>
          <w:tcPr>
            <w:tcW w:w="979" w:type="dxa"/>
            <w:tcBorders>
              <w:top w:val="single" w:sz="6" w:space="0" w:color="000000"/>
              <w:left w:val="nil"/>
              <w:bottom w:val="single" w:sz="12" w:space="0" w:color="000000"/>
              <w:right w:val="nil"/>
            </w:tcBorders>
          </w:tcPr>
          <w:p w14:paraId="6FC1547C" w14:textId="77777777" w:rsidR="00E96F6D" w:rsidRDefault="006E21CE">
            <w:pPr>
              <w:spacing w:after="0" w:line="259" w:lineRule="auto"/>
              <w:ind w:left="300" w:firstLine="0"/>
            </w:pPr>
            <w:r>
              <w:t xml:space="preserve"> </w:t>
            </w:r>
          </w:p>
          <w:p w14:paraId="66D2FA3A" w14:textId="77777777" w:rsidR="00E96F6D" w:rsidRDefault="006E21CE">
            <w:pPr>
              <w:spacing w:after="0" w:line="259" w:lineRule="auto"/>
              <w:ind w:left="300" w:firstLine="0"/>
            </w:pPr>
            <w:r>
              <w:t xml:space="preserve"> </w:t>
            </w:r>
          </w:p>
          <w:p w14:paraId="46D6738A" w14:textId="77777777" w:rsidR="00E96F6D" w:rsidRDefault="006E21CE">
            <w:pPr>
              <w:spacing w:after="0" w:line="259" w:lineRule="auto"/>
              <w:ind w:left="33" w:firstLine="0"/>
            </w:pPr>
            <w:r>
              <w:t>4047</w:t>
            </w:r>
            <w:r>
              <w:t xml:space="preserve"> </w:t>
            </w:r>
          </w:p>
        </w:tc>
      </w:tr>
    </w:tbl>
    <w:p w14:paraId="2CA36FCC" w14:textId="77777777" w:rsidR="00E96F6D" w:rsidRDefault="006E21CE">
      <w:pPr>
        <w:spacing w:after="0" w:line="259" w:lineRule="auto"/>
        <w:ind w:left="363" w:firstLine="0"/>
      </w:pPr>
      <w:r>
        <w:t xml:space="preserve"> </w:t>
      </w:r>
    </w:p>
    <w:p w14:paraId="1504B164" w14:textId="77777777" w:rsidR="00E96F6D" w:rsidRDefault="006E21CE">
      <w:pPr>
        <w:spacing w:after="0" w:line="259" w:lineRule="auto"/>
        <w:ind w:left="358"/>
      </w:pPr>
      <w:r>
        <w:rPr>
          <w:i/>
        </w:rPr>
        <w:t>Adults:</w:t>
      </w:r>
      <w:r>
        <w:t xml:space="preserve"> </w:t>
      </w:r>
      <w:r>
        <w:t xml:space="preserve"> </w:t>
      </w:r>
    </w:p>
    <w:p w14:paraId="7015F95B" w14:textId="77777777" w:rsidR="00E96F6D" w:rsidRDefault="006E21CE">
      <w:pPr>
        <w:spacing w:after="0" w:line="259" w:lineRule="auto"/>
        <w:ind w:left="0" w:firstLine="0"/>
      </w:pPr>
      <w:r>
        <w:t xml:space="preserve"> </w:t>
      </w:r>
    </w:p>
    <w:p w14:paraId="160C0276" w14:textId="77777777" w:rsidR="00E96F6D" w:rsidRDefault="006E21CE">
      <w:pPr>
        <w:ind w:left="0" w:right="13"/>
      </w:pPr>
      <w:r>
        <w:t xml:space="preserve">BCUHB’s central service have started to capture patients who were referred for ADHD assessment this year. However, BCUHB do not use clinical coding for cases other than inpatients. The requirement for an ADHD diagnosis may be recorded in the </w:t>
      </w:r>
      <w:r>
        <w:t>detail of the SPOAA (single point of access) referral, but will be recorded as text and therefore cannot be extracted electronically.</w:t>
      </w:r>
      <w:r>
        <w:t xml:space="preserve"> </w:t>
      </w:r>
    </w:p>
    <w:p w14:paraId="65C719A5" w14:textId="77777777" w:rsidR="00E96F6D" w:rsidRDefault="006E21CE">
      <w:pPr>
        <w:spacing w:after="0" w:line="259" w:lineRule="auto"/>
        <w:ind w:left="0" w:firstLine="0"/>
      </w:pPr>
      <w:r>
        <w:t xml:space="preserve"> </w:t>
      </w:r>
    </w:p>
    <w:p w14:paraId="222FB24C" w14:textId="77777777" w:rsidR="00E96F6D" w:rsidRDefault="006E21CE">
      <w:pPr>
        <w:spacing w:after="2" w:line="259" w:lineRule="auto"/>
        <w:ind w:left="0"/>
      </w:pPr>
      <w:r>
        <w:rPr>
          <w:b/>
        </w:rPr>
        <w:t>2.</w:t>
      </w:r>
      <w:r>
        <w:rPr>
          <w:b/>
        </w:rPr>
        <w:t xml:space="preserve"> </w:t>
      </w:r>
      <w:r>
        <w:rPr>
          <w:b/>
        </w:rPr>
        <w:t>Number of individuals who were then referred for assessment.</w:t>
      </w:r>
      <w:r>
        <w:rPr>
          <w:b/>
        </w:rPr>
        <w:t xml:space="preserve"> </w:t>
      </w:r>
    </w:p>
    <w:p w14:paraId="1AD7E1E8" w14:textId="77777777" w:rsidR="00E96F6D" w:rsidRDefault="006E21CE">
      <w:pPr>
        <w:spacing w:after="0" w:line="259" w:lineRule="auto"/>
        <w:ind w:left="0" w:firstLine="0"/>
      </w:pPr>
      <w:r>
        <w:t xml:space="preserve"> </w:t>
      </w:r>
    </w:p>
    <w:p w14:paraId="67024204" w14:textId="77777777" w:rsidR="00E96F6D" w:rsidRDefault="006E21CE">
      <w:pPr>
        <w:spacing w:after="0" w:line="259" w:lineRule="auto"/>
        <w:ind w:left="358"/>
      </w:pPr>
      <w:r>
        <w:rPr>
          <w:i/>
        </w:rPr>
        <w:t>Children:</w:t>
      </w:r>
      <w:r>
        <w:rPr>
          <w:i/>
        </w:rPr>
        <w:t xml:space="preserve"> </w:t>
      </w:r>
    </w:p>
    <w:p w14:paraId="5CAB9142" w14:textId="77777777" w:rsidR="00E96F6D" w:rsidRDefault="006E21CE">
      <w:pPr>
        <w:spacing w:after="0" w:line="259" w:lineRule="auto"/>
        <w:ind w:left="0" w:firstLine="0"/>
      </w:pPr>
      <w:r>
        <w:t xml:space="preserve"> </w:t>
      </w:r>
    </w:p>
    <w:p w14:paraId="3CF069D8" w14:textId="77777777" w:rsidR="00E96F6D" w:rsidRDefault="006E21CE">
      <w:pPr>
        <w:ind w:left="0" w:right="13"/>
      </w:pPr>
      <w:r>
        <w:t>BCUHB’s Children’s Neurodevelopment ser</w:t>
      </w:r>
      <w:r>
        <w:t>vice has one waiting list for all assessments (ASD, ADHD and dual assessments). We are unable to split this down to accurately provide data. However, we can provide the accepted number of referrals in to the service for ADHD, ASD and dual assessments by ye</w:t>
      </w:r>
      <w:r>
        <w:t>ar, which is shown in the table below.</w:t>
      </w:r>
      <w:r>
        <w:t xml:space="preserve"> </w:t>
      </w:r>
    </w:p>
    <w:p w14:paraId="6E194747" w14:textId="77777777" w:rsidR="00E96F6D" w:rsidRDefault="006E21CE">
      <w:pPr>
        <w:spacing w:after="0" w:line="259" w:lineRule="auto"/>
        <w:ind w:left="0" w:firstLine="0"/>
      </w:pPr>
      <w:r>
        <w:t xml:space="preserve"> </w:t>
      </w:r>
    </w:p>
    <w:tbl>
      <w:tblPr>
        <w:tblStyle w:val="TableGrid"/>
        <w:tblW w:w="9502" w:type="dxa"/>
        <w:tblInd w:w="-108" w:type="dxa"/>
        <w:tblCellMar>
          <w:top w:w="58" w:type="dxa"/>
          <w:left w:w="0" w:type="dxa"/>
          <w:bottom w:w="0" w:type="dxa"/>
          <w:right w:w="105" w:type="dxa"/>
        </w:tblCellMar>
        <w:tblLook w:val="04A0" w:firstRow="1" w:lastRow="0" w:firstColumn="1" w:lastColumn="0" w:noHBand="0" w:noVBand="1"/>
      </w:tblPr>
      <w:tblGrid>
        <w:gridCol w:w="1357"/>
        <w:gridCol w:w="1735"/>
        <w:gridCol w:w="1357"/>
        <w:gridCol w:w="1358"/>
        <w:gridCol w:w="837"/>
        <w:gridCol w:w="521"/>
        <w:gridCol w:w="1358"/>
        <w:gridCol w:w="979"/>
      </w:tblGrid>
      <w:tr w:rsidR="00E96F6D" w14:paraId="661FF87A" w14:textId="77777777">
        <w:trPr>
          <w:trHeight w:val="298"/>
        </w:trPr>
        <w:tc>
          <w:tcPr>
            <w:tcW w:w="1357" w:type="dxa"/>
            <w:tcBorders>
              <w:top w:val="single" w:sz="12" w:space="0" w:color="000000"/>
              <w:left w:val="nil"/>
              <w:bottom w:val="single" w:sz="6" w:space="0" w:color="000000"/>
              <w:right w:val="single" w:sz="6" w:space="0" w:color="000000"/>
            </w:tcBorders>
          </w:tcPr>
          <w:p w14:paraId="5AD05764" w14:textId="77777777" w:rsidR="00E96F6D" w:rsidRDefault="006E21CE">
            <w:pPr>
              <w:spacing w:after="0" w:line="259" w:lineRule="auto"/>
              <w:ind w:left="105" w:firstLine="0"/>
              <w:jc w:val="center"/>
            </w:pPr>
            <w:r>
              <w:rPr>
                <w:b/>
              </w:rPr>
              <w:t>Year</w:t>
            </w:r>
            <w:r>
              <w:rPr>
                <w:b/>
              </w:rPr>
              <w:t xml:space="preserve"> </w:t>
            </w:r>
          </w:p>
        </w:tc>
        <w:tc>
          <w:tcPr>
            <w:tcW w:w="1735" w:type="dxa"/>
            <w:tcBorders>
              <w:top w:val="single" w:sz="12" w:space="0" w:color="000000"/>
              <w:left w:val="single" w:sz="6" w:space="0" w:color="000000"/>
              <w:bottom w:val="single" w:sz="6" w:space="0" w:color="000000"/>
              <w:right w:val="nil"/>
            </w:tcBorders>
          </w:tcPr>
          <w:p w14:paraId="05B5870D" w14:textId="77777777" w:rsidR="00E96F6D" w:rsidRDefault="006E21CE">
            <w:pPr>
              <w:spacing w:after="0" w:line="259" w:lineRule="auto"/>
              <w:ind w:left="378" w:firstLine="0"/>
            </w:pPr>
            <w:r>
              <w:rPr>
                <w:b/>
              </w:rPr>
              <w:t>17/18</w:t>
            </w:r>
            <w:r>
              <w:rPr>
                <w:b/>
              </w:rPr>
              <w:t xml:space="preserve"> </w:t>
            </w:r>
          </w:p>
        </w:tc>
        <w:tc>
          <w:tcPr>
            <w:tcW w:w="1357" w:type="dxa"/>
            <w:tcBorders>
              <w:top w:val="single" w:sz="12" w:space="0" w:color="000000"/>
              <w:left w:val="nil"/>
              <w:bottom w:val="single" w:sz="6" w:space="0" w:color="000000"/>
              <w:right w:val="nil"/>
            </w:tcBorders>
          </w:tcPr>
          <w:p w14:paraId="200AAA88" w14:textId="77777777" w:rsidR="00E96F6D" w:rsidRDefault="006E21CE">
            <w:pPr>
              <w:spacing w:after="0" w:line="259" w:lineRule="auto"/>
              <w:ind w:left="0" w:firstLine="0"/>
            </w:pPr>
            <w:r>
              <w:rPr>
                <w:b/>
              </w:rPr>
              <w:t>18/19</w:t>
            </w:r>
            <w:r>
              <w:rPr>
                <w:b/>
              </w:rPr>
              <w:t xml:space="preserve"> </w:t>
            </w:r>
          </w:p>
        </w:tc>
        <w:tc>
          <w:tcPr>
            <w:tcW w:w="1358" w:type="dxa"/>
            <w:tcBorders>
              <w:top w:val="single" w:sz="12" w:space="0" w:color="000000"/>
              <w:left w:val="nil"/>
              <w:bottom w:val="single" w:sz="6" w:space="0" w:color="000000"/>
              <w:right w:val="nil"/>
            </w:tcBorders>
          </w:tcPr>
          <w:p w14:paraId="543CEEB5" w14:textId="77777777" w:rsidR="00E96F6D" w:rsidRDefault="006E21CE">
            <w:pPr>
              <w:spacing w:after="0" w:line="259" w:lineRule="auto"/>
              <w:ind w:left="0" w:firstLine="0"/>
            </w:pPr>
            <w:r>
              <w:rPr>
                <w:b/>
              </w:rPr>
              <w:t>19/20</w:t>
            </w:r>
            <w:r>
              <w:rPr>
                <w:b/>
              </w:rPr>
              <w:t xml:space="preserve"> </w:t>
            </w:r>
          </w:p>
        </w:tc>
        <w:tc>
          <w:tcPr>
            <w:tcW w:w="837" w:type="dxa"/>
            <w:tcBorders>
              <w:top w:val="single" w:sz="12" w:space="0" w:color="000000"/>
              <w:left w:val="nil"/>
              <w:bottom w:val="single" w:sz="6" w:space="0" w:color="000000"/>
              <w:right w:val="nil"/>
            </w:tcBorders>
          </w:tcPr>
          <w:p w14:paraId="409E84A6" w14:textId="77777777" w:rsidR="00E96F6D" w:rsidRDefault="006E21CE">
            <w:pPr>
              <w:spacing w:after="0" w:line="259" w:lineRule="auto"/>
              <w:ind w:left="0" w:firstLine="0"/>
            </w:pPr>
            <w:r>
              <w:rPr>
                <w:b/>
              </w:rPr>
              <w:t>20/21</w:t>
            </w:r>
            <w:r>
              <w:rPr>
                <w:b/>
              </w:rPr>
              <w:t xml:space="preserve"> </w:t>
            </w:r>
          </w:p>
        </w:tc>
        <w:tc>
          <w:tcPr>
            <w:tcW w:w="521" w:type="dxa"/>
            <w:tcBorders>
              <w:top w:val="single" w:sz="12" w:space="0" w:color="000000"/>
              <w:left w:val="nil"/>
              <w:bottom w:val="single" w:sz="6" w:space="0" w:color="000000"/>
              <w:right w:val="nil"/>
            </w:tcBorders>
          </w:tcPr>
          <w:p w14:paraId="1C53A78D" w14:textId="77777777" w:rsidR="00E96F6D" w:rsidRDefault="00E96F6D">
            <w:pPr>
              <w:spacing w:after="160" w:line="259" w:lineRule="auto"/>
              <w:ind w:left="0" w:firstLine="0"/>
            </w:pPr>
          </w:p>
        </w:tc>
        <w:tc>
          <w:tcPr>
            <w:tcW w:w="1358" w:type="dxa"/>
            <w:tcBorders>
              <w:top w:val="single" w:sz="12" w:space="0" w:color="000000"/>
              <w:left w:val="nil"/>
              <w:bottom w:val="single" w:sz="6" w:space="0" w:color="000000"/>
              <w:right w:val="nil"/>
            </w:tcBorders>
          </w:tcPr>
          <w:p w14:paraId="504F9E7E" w14:textId="77777777" w:rsidR="00E96F6D" w:rsidRDefault="006E21CE">
            <w:pPr>
              <w:spacing w:after="0" w:line="259" w:lineRule="auto"/>
              <w:ind w:left="0" w:firstLine="0"/>
            </w:pPr>
            <w:r>
              <w:rPr>
                <w:b/>
              </w:rPr>
              <w:t>21/22</w:t>
            </w:r>
            <w:r>
              <w:rPr>
                <w:b/>
              </w:rPr>
              <w:t xml:space="preserve"> </w:t>
            </w:r>
          </w:p>
        </w:tc>
        <w:tc>
          <w:tcPr>
            <w:tcW w:w="979" w:type="dxa"/>
            <w:tcBorders>
              <w:top w:val="single" w:sz="12" w:space="0" w:color="000000"/>
              <w:left w:val="nil"/>
              <w:bottom w:val="single" w:sz="6" w:space="0" w:color="000000"/>
              <w:right w:val="nil"/>
            </w:tcBorders>
          </w:tcPr>
          <w:p w14:paraId="1980328D" w14:textId="77777777" w:rsidR="00E96F6D" w:rsidRDefault="006E21CE">
            <w:pPr>
              <w:spacing w:after="0" w:line="259" w:lineRule="auto"/>
              <w:ind w:left="0" w:firstLine="0"/>
            </w:pPr>
            <w:r>
              <w:rPr>
                <w:b/>
              </w:rPr>
              <w:t>22/23</w:t>
            </w:r>
            <w:r>
              <w:rPr>
                <w:b/>
              </w:rPr>
              <w:t xml:space="preserve"> </w:t>
            </w:r>
          </w:p>
        </w:tc>
      </w:tr>
      <w:tr w:rsidR="00E96F6D" w14:paraId="4242AEE4" w14:textId="77777777">
        <w:trPr>
          <w:trHeight w:val="1678"/>
        </w:trPr>
        <w:tc>
          <w:tcPr>
            <w:tcW w:w="1357" w:type="dxa"/>
            <w:tcBorders>
              <w:top w:val="single" w:sz="6" w:space="0" w:color="000000"/>
              <w:left w:val="nil"/>
              <w:bottom w:val="single" w:sz="12" w:space="0" w:color="000000"/>
              <w:right w:val="single" w:sz="6" w:space="0" w:color="000000"/>
            </w:tcBorders>
          </w:tcPr>
          <w:p w14:paraId="738C556E" w14:textId="77777777" w:rsidR="00E96F6D" w:rsidRDefault="006E21CE">
            <w:pPr>
              <w:spacing w:after="0" w:line="240" w:lineRule="auto"/>
              <w:ind w:left="0" w:firstLine="0"/>
              <w:jc w:val="center"/>
            </w:pPr>
            <w:r>
              <w:t xml:space="preserve">Total of accepted referrals within a </w:t>
            </w:r>
          </w:p>
          <w:p w14:paraId="69B6597D" w14:textId="77777777" w:rsidR="00E96F6D" w:rsidRDefault="006E21CE">
            <w:pPr>
              <w:spacing w:after="0" w:line="259" w:lineRule="auto"/>
              <w:ind w:left="0" w:firstLine="0"/>
              <w:jc w:val="center"/>
            </w:pPr>
            <w:r>
              <w:t>12-month position</w:t>
            </w:r>
            <w:r>
              <w:t xml:space="preserve"> </w:t>
            </w:r>
          </w:p>
        </w:tc>
        <w:tc>
          <w:tcPr>
            <w:tcW w:w="1735" w:type="dxa"/>
            <w:tcBorders>
              <w:top w:val="single" w:sz="6" w:space="0" w:color="000000"/>
              <w:left w:val="single" w:sz="6" w:space="0" w:color="000000"/>
              <w:bottom w:val="single" w:sz="12" w:space="0" w:color="000000"/>
              <w:right w:val="nil"/>
            </w:tcBorders>
          </w:tcPr>
          <w:p w14:paraId="13940C6B" w14:textId="77777777" w:rsidR="00E96F6D" w:rsidRDefault="006E21CE">
            <w:pPr>
              <w:spacing w:after="0" w:line="259" w:lineRule="auto"/>
              <w:ind w:left="678" w:firstLine="0"/>
            </w:pPr>
            <w:r>
              <w:t xml:space="preserve"> </w:t>
            </w:r>
          </w:p>
          <w:p w14:paraId="31AD2FF3" w14:textId="77777777" w:rsidR="00E96F6D" w:rsidRDefault="006E21CE">
            <w:pPr>
              <w:spacing w:after="0" w:line="259" w:lineRule="auto"/>
              <w:ind w:left="678" w:firstLine="0"/>
            </w:pPr>
            <w:r>
              <w:t xml:space="preserve"> </w:t>
            </w:r>
          </w:p>
          <w:p w14:paraId="5C155744" w14:textId="77777777" w:rsidR="00E96F6D" w:rsidRDefault="006E21CE">
            <w:pPr>
              <w:spacing w:after="0" w:line="259" w:lineRule="auto"/>
              <w:ind w:left="412" w:firstLine="0"/>
            </w:pPr>
            <w:r>
              <w:t>1304</w:t>
            </w:r>
            <w:r>
              <w:t xml:space="preserve"> </w:t>
            </w:r>
          </w:p>
        </w:tc>
        <w:tc>
          <w:tcPr>
            <w:tcW w:w="1357" w:type="dxa"/>
            <w:tcBorders>
              <w:top w:val="single" w:sz="6" w:space="0" w:color="000000"/>
              <w:left w:val="nil"/>
              <w:bottom w:val="single" w:sz="12" w:space="0" w:color="000000"/>
              <w:right w:val="nil"/>
            </w:tcBorders>
          </w:tcPr>
          <w:p w14:paraId="39C1AB50" w14:textId="77777777" w:rsidR="00E96F6D" w:rsidRDefault="006E21CE">
            <w:pPr>
              <w:spacing w:after="0" w:line="259" w:lineRule="auto"/>
              <w:ind w:left="300" w:firstLine="0"/>
            </w:pPr>
            <w:r>
              <w:t xml:space="preserve"> </w:t>
            </w:r>
          </w:p>
          <w:p w14:paraId="55D5ED35" w14:textId="77777777" w:rsidR="00E96F6D" w:rsidRDefault="006E21CE">
            <w:pPr>
              <w:spacing w:after="0" w:line="259" w:lineRule="auto"/>
              <w:ind w:left="300" w:firstLine="0"/>
            </w:pPr>
            <w:r>
              <w:t xml:space="preserve"> </w:t>
            </w:r>
          </w:p>
          <w:p w14:paraId="0AF9FF98" w14:textId="77777777" w:rsidR="00E96F6D" w:rsidRDefault="006E21CE">
            <w:pPr>
              <w:spacing w:after="0" w:line="259" w:lineRule="auto"/>
              <w:ind w:left="33" w:firstLine="0"/>
            </w:pPr>
            <w:r>
              <w:t>1423</w:t>
            </w:r>
            <w:r>
              <w:t xml:space="preserve"> </w:t>
            </w:r>
          </w:p>
        </w:tc>
        <w:tc>
          <w:tcPr>
            <w:tcW w:w="1358" w:type="dxa"/>
            <w:tcBorders>
              <w:top w:val="single" w:sz="6" w:space="0" w:color="000000"/>
              <w:left w:val="nil"/>
              <w:bottom w:val="single" w:sz="12" w:space="0" w:color="000000"/>
              <w:right w:val="nil"/>
            </w:tcBorders>
          </w:tcPr>
          <w:p w14:paraId="33CF2EEE" w14:textId="77777777" w:rsidR="00E96F6D" w:rsidRDefault="006E21CE">
            <w:pPr>
              <w:spacing w:after="0" w:line="259" w:lineRule="auto"/>
              <w:ind w:left="300" w:firstLine="0"/>
            </w:pPr>
            <w:r>
              <w:t xml:space="preserve"> </w:t>
            </w:r>
          </w:p>
          <w:p w14:paraId="2E482998" w14:textId="77777777" w:rsidR="00E96F6D" w:rsidRDefault="006E21CE">
            <w:pPr>
              <w:spacing w:after="0" w:line="259" w:lineRule="auto"/>
              <w:ind w:left="300" w:firstLine="0"/>
            </w:pPr>
            <w:r>
              <w:t xml:space="preserve"> </w:t>
            </w:r>
          </w:p>
          <w:p w14:paraId="21706A7D" w14:textId="77777777" w:rsidR="00E96F6D" w:rsidRDefault="006E21CE">
            <w:pPr>
              <w:spacing w:after="0" w:line="259" w:lineRule="auto"/>
              <w:ind w:left="33" w:firstLine="0"/>
            </w:pPr>
            <w:r>
              <w:t>1570</w:t>
            </w:r>
            <w:r>
              <w:t xml:space="preserve"> </w:t>
            </w:r>
          </w:p>
        </w:tc>
        <w:tc>
          <w:tcPr>
            <w:tcW w:w="837" w:type="dxa"/>
            <w:tcBorders>
              <w:top w:val="single" w:sz="6" w:space="0" w:color="000000"/>
              <w:left w:val="nil"/>
              <w:bottom w:val="single" w:sz="12" w:space="0" w:color="000000"/>
              <w:right w:val="nil"/>
            </w:tcBorders>
          </w:tcPr>
          <w:p w14:paraId="70B1EEB6" w14:textId="77777777" w:rsidR="00E96F6D" w:rsidRDefault="006E21CE">
            <w:pPr>
              <w:spacing w:after="0" w:line="259" w:lineRule="auto"/>
              <w:ind w:left="300" w:firstLine="0"/>
            </w:pPr>
            <w:r>
              <w:t xml:space="preserve"> </w:t>
            </w:r>
          </w:p>
          <w:p w14:paraId="751FA9E2" w14:textId="77777777" w:rsidR="00E96F6D" w:rsidRDefault="006E21CE">
            <w:pPr>
              <w:spacing w:after="0" w:line="259" w:lineRule="auto"/>
              <w:ind w:left="300" w:firstLine="0"/>
            </w:pPr>
            <w:r>
              <w:t xml:space="preserve"> </w:t>
            </w:r>
          </w:p>
          <w:p w14:paraId="5AC54759" w14:textId="77777777" w:rsidR="00E96F6D" w:rsidRDefault="006E21CE">
            <w:pPr>
              <w:spacing w:after="0" w:line="259" w:lineRule="auto"/>
              <w:ind w:left="100" w:firstLine="0"/>
            </w:pPr>
            <w:r>
              <w:t>944</w:t>
            </w:r>
            <w:r>
              <w:t xml:space="preserve"> </w:t>
            </w:r>
          </w:p>
        </w:tc>
        <w:tc>
          <w:tcPr>
            <w:tcW w:w="521" w:type="dxa"/>
            <w:tcBorders>
              <w:top w:val="single" w:sz="6" w:space="0" w:color="000000"/>
              <w:left w:val="nil"/>
              <w:bottom w:val="single" w:sz="12" w:space="0" w:color="000000"/>
              <w:right w:val="nil"/>
            </w:tcBorders>
          </w:tcPr>
          <w:p w14:paraId="5D4F1219" w14:textId="77777777" w:rsidR="00E96F6D" w:rsidRDefault="00E96F6D">
            <w:pPr>
              <w:spacing w:after="160" w:line="259" w:lineRule="auto"/>
              <w:ind w:left="0" w:firstLine="0"/>
            </w:pPr>
          </w:p>
        </w:tc>
        <w:tc>
          <w:tcPr>
            <w:tcW w:w="1358" w:type="dxa"/>
            <w:tcBorders>
              <w:top w:val="single" w:sz="6" w:space="0" w:color="000000"/>
              <w:left w:val="nil"/>
              <w:bottom w:val="single" w:sz="12" w:space="0" w:color="000000"/>
              <w:right w:val="nil"/>
            </w:tcBorders>
          </w:tcPr>
          <w:p w14:paraId="3D763115" w14:textId="77777777" w:rsidR="00E96F6D" w:rsidRDefault="006E21CE">
            <w:pPr>
              <w:spacing w:after="0" w:line="259" w:lineRule="auto"/>
              <w:ind w:left="300" w:firstLine="0"/>
            </w:pPr>
            <w:r>
              <w:t xml:space="preserve"> </w:t>
            </w:r>
          </w:p>
          <w:p w14:paraId="7A45D0F6" w14:textId="77777777" w:rsidR="00E96F6D" w:rsidRDefault="006E21CE">
            <w:pPr>
              <w:spacing w:after="0" w:line="259" w:lineRule="auto"/>
              <w:ind w:left="300" w:firstLine="0"/>
            </w:pPr>
            <w:r>
              <w:t xml:space="preserve"> </w:t>
            </w:r>
          </w:p>
          <w:p w14:paraId="636E6181" w14:textId="77777777" w:rsidR="00E96F6D" w:rsidRDefault="006E21CE">
            <w:pPr>
              <w:spacing w:after="0" w:line="259" w:lineRule="auto"/>
              <w:ind w:left="33" w:firstLine="0"/>
            </w:pPr>
            <w:r>
              <w:t>1566</w:t>
            </w:r>
            <w:r>
              <w:t xml:space="preserve"> </w:t>
            </w:r>
          </w:p>
        </w:tc>
        <w:tc>
          <w:tcPr>
            <w:tcW w:w="979" w:type="dxa"/>
            <w:tcBorders>
              <w:top w:val="single" w:sz="6" w:space="0" w:color="000000"/>
              <w:left w:val="nil"/>
              <w:bottom w:val="single" w:sz="12" w:space="0" w:color="000000"/>
              <w:right w:val="nil"/>
            </w:tcBorders>
          </w:tcPr>
          <w:p w14:paraId="1C9F80AF" w14:textId="77777777" w:rsidR="00E96F6D" w:rsidRDefault="006E21CE">
            <w:pPr>
              <w:spacing w:after="0" w:line="259" w:lineRule="auto"/>
              <w:ind w:left="300" w:firstLine="0"/>
            </w:pPr>
            <w:r>
              <w:t xml:space="preserve"> </w:t>
            </w:r>
          </w:p>
          <w:p w14:paraId="2E1885DA" w14:textId="77777777" w:rsidR="00E96F6D" w:rsidRDefault="006E21CE">
            <w:pPr>
              <w:spacing w:after="0" w:line="259" w:lineRule="auto"/>
              <w:ind w:left="300" w:firstLine="0"/>
            </w:pPr>
            <w:r>
              <w:t xml:space="preserve"> </w:t>
            </w:r>
          </w:p>
          <w:p w14:paraId="7DD3D296" w14:textId="77777777" w:rsidR="00E96F6D" w:rsidRDefault="006E21CE">
            <w:pPr>
              <w:spacing w:after="0" w:line="259" w:lineRule="auto"/>
              <w:ind w:left="33" w:firstLine="0"/>
            </w:pPr>
            <w:r>
              <w:t>2178</w:t>
            </w:r>
            <w:r>
              <w:t xml:space="preserve"> </w:t>
            </w:r>
          </w:p>
        </w:tc>
      </w:tr>
    </w:tbl>
    <w:p w14:paraId="133C37F9" w14:textId="77777777" w:rsidR="00E96F6D" w:rsidRDefault="006E21CE">
      <w:pPr>
        <w:spacing w:after="0" w:line="259" w:lineRule="auto"/>
        <w:ind w:left="363" w:firstLine="0"/>
      </w:pPr>
      <w:r>
        <w:t xml:space="preserve"> </w:t>
      </w:r>
    </w:p>
    <w:p w14:paraId="083C0874" w14:textId="77777777" w:rsidR="00E96F6D" w:rsidRDefault="006E21CE">
      <w:pPr>
        <w:spacing w:after="0" w:line="259" w:lineRule="auto"/>
        <w:ind w:left="358"/>
      </w:pPr>
      <w:r>
        <w:rPr>
          <w:i/>
        </w:rPr>
        <w:t>Adults:</w:t>
      </w:r>
      <w:r>
        <w:rPr>
          <w:i/>
        </w:rPr>
        <w:t xml:space="preserve"> </w:t>
      </w:r>
    </w:p>
    <w:p w14:paraId="021CF813" w14:textId="77777777" w:rsidR="00E96F6D" w:rsidRDefault="006E21CE">
      <w:pPr>
        <w:spacing w:after="0" w:line="259" w:lineRule="auto"/>
        <w:ind w:left="0" w:firstLine="0"/>
      </w:pPr>
      <w:r>
        <w:t xml:space="preserve"> </w:t>
      </w:r>
    </w:p>
    <w:p w14:paraId="2C65B1A4" w14:textId="77777777" w:rsidR="00E96F6D" w:rsidRDefault="006E21CE">
      <w:pPr>
        <w:ind w:left="0" w:right="13"/>
      </w:pPr>
      <w:r>
        <w:t xml:space="preserve">The number of </w:t>
      </w:r>
      <w:r>
        <w:t>individuals who were then referred for assessment is recorded as text and therefore cannot be extracted electronically. Within BCUHB’s central service, there are almost 50,000 files to manually trawl through to identify ADHD assessments for the period requ</w:t>
      </w:r>
      <w:r>
        <w:t>ired. Therefore, we will not be able to provide this information at present as we do not hold this information electronically</w:t>
      </w:r>
      <w:r>
        <w:t xml:space="preserve"> </w:t>
      </w:r>
    </w:p>
    <w:p w14:paraId="545CB805" w14:textId="77777777" w:rsidR="00E96F6D" w:rsidRDefault="006E21CE">
      <w:pPr>
        <w:spacing w:after="0" w:line="259" w:lineRule="auto"/>
        <w:ind w:left="0" w:firstLine="0"/>
      </w:pPr>
      <w:r>
        <w:t xml:space="preserve"> </w:t>
      </w:r>
    </w:p>
    <w:p w14:paraId="040C87B0" w14:textId="77777777" w:rsidR="00E96F6D" w:rsidRDefault="006E21CE">
      <w:pPr>
        <w:spacing w:after="2" w:line="259" w:lineRule="auto"/>
        <w:ind w:left="0"/>
      </w:pPr>
      <w:r>
        <w:rPr>
          <w:b/>
        </w:rPr>
        <w:t>3.</w:t>
      </w:r>
      <w:r>
        <w:rPr>
          <w:b/>
        </w:rPr>
        <w:t xml:space="preserve"> </w:t>
      </w:r>
      <w:r>
        <w:rPr>
          <w:b/>
        </w:rPr>
        <w:t>Number of those assessed who were given an official diagnosis.</w:t>
      </w:r>
      <w:r>
        <w:rPr>
          <w:b/>
        </w:rPr>
        <w:t xml:space="preserve"> </w:t>
      </w:r>
    </w:p>
    <w:p w14:paraId="6FBE25AE" w14:textId="77777777" w:rsidR="00E96F6D" w:rsidRDefault="006E21CE">
      <w:pPr>
        <w:spacing w:after="0" w:line="259" w:lineRule="auto"/>
        <w:ind w:left="0" w:firstLine="0"/>
      </w:pPr>
      <w:r>
        <w:t xml:space="preserve"> </w:t>
      </w:r>
    </w:p>
    <w:p w14:paraId="6CB86DA2" w14:textId="77777777" w:rsidR="00E96F6D" w:rsidRDefault="006E21CE">
      <w:pPr>
        <w:spacing w:after="0" w:line="259" w:lineRule="auto"/>
        <w:ind w:left="358"/>
      </w:pPr>
      <w:r>
        <w:rPr>
          <w:i/>
        </w:rPr>
        <w:t xml:space="preserve">Children: </w:t>
      </w:r>
      <w:r>
        <w:rPr>
          <w:i/>
        </w:rPr>
        <w:t xml:space="preserve"> </w:t>
      </w:r>
    </w:p>
    <w:p w14:paraId="7A52CF91" w14:textId="77777777" w:rsidR="00E96F6D" w:rsidRDefault="006E21CE">
      <w:pPr>
        <w:spacing w:after="0" w:line="259" w:lineRule="auto"/>
        <w:ind w:left="0" w:firstLine="0"/>
      </w:pPr>
      <w:r>
        <w:t xml:space="preserve"> </w:t>
      </w:r>
    </w:p>
    <w:p w14:paraId="55F1E749" w14:textId="77777777" w:rsidR="00E96F6D" w:rsidRDefault="006E21CE">
      <w:pPr>
        <w:ind w:left="0" w:right="13"/>
      </w:pPr>
      <w:r>
        <w:t xml:space="preserve">At present we do not </w:t>
      </w:r>
      <w:r>
        <w:t xml:space="preserve">consistently record the diagnosis on the Welsh Patient </w:t>
      </w:r>
    </w:p>
    <w:p w14:paraId="3C42ADDE" w14:textId="77777777" w:rsidR="00E96F6D" w:rsidRDefault="006E21CE">
      <w:pPr>
        <w:ind w:left="0" w:right="13"/>
      </w:pPr>
      <w:r>
        <w:t>Administration System (WPAS), therefore we are unable to provide this information.</w:t>
      </w:r>
      <w:r>
        <w:t xml:space="preserve"> </w:t>
      </w:r>
    </w:p>
    <w:p w14:paraId="6514E906" w14:textId="77777777" w:rsidR="00E96F6D" w:rsidRDefault="006E21CE">
      <w:pPr>
        <w:spacing w:after="0" w:line="259" w:lineRule="auto"/>
        <w:ind w:left="358"/>
      </w:pPr>
      <w:r>
        <w:rPr>
          <w:i/>
        </w:rPr>
        <w:t>Adults:</w:t>
      </w:r>
      <w:r>
        <w:t xml:space="preserve"> </w:t>
      </w:r>
    </w:p>
    <w:p w14:paraId="6E3C810A" w14:textId="77777777" w:rsidR="00E96F6D" w:rsidRDefault="006E21CE">
      <w:pPr>
        <w:spacing w:after="0" w:line="259" w:lineRule="auto"/>
        <w:ind w:left="0" w:firstLine="0"/>
      </w:pPr>
      <w:r>
        <w:t xml:space="preserve"> </w:t>
      </w:r>
    </w:p>
    <w:p w14:paraId="222F521F" w14:textId="77777777" w:rsidR="00E96F6D" w:rsidRDefault="006E21CE">
      <w:pPr>
        <w:ind w:left="0" w:right="13"/>
      </w:pPr>
      <w:r>
        <w:lastRenderedPageBreak/>
        <w:t>The number of those assessed who were given an official diagnosis would only be available in the notes. T</w:t>
      </w:r>
      <w:r>
        <w:t>herefore, it is not possible to provide the information requested due to the information exceeding the cost limit identified in Section 12 as laid out below.</w:t>
      </w:r>
      <w:r>
        <w:t xml:space="preserve"> </w:t>
      </w:r>
    </w:p>
    <w:p w14:paraId="0C6E41E9" w14:textId="77777777" w:rsidR="00E96F6D" w:rsidRDefault="006E21CE">
      <w:pPr>
        <w:spacing w:after="0" w:line="259" w:lineRule="auto"/>
        <w:ind w:left="0" w:firstLine="0"/>
      </w:pPr>
      <w:r>
        <w:t xml:space="preserve"> </w:t>
      </w:r>
    </w:p>
    <w:p w14:paraId="7CE34887" w14:textId="77777777" w:rsidR="00E96F6D" w:rsidRDefault="006E21CE">
      <w:pPr>
        <w:spacing w:after="2" w:line="259" w:lineRule="auto"/>
        <w:ind w:left="0"/>
      </w:pPr>
      <w:r>
        <w:rPr>
          <w:b/>
        </w:rPr>
        <w:t>Refusal notice under Section 12 of the Freedom of Information Act 2000.</w:t>
      </w:r>
      <w:r>
        <w:rPr>
          <w:b/>
        </w:rPr>
        <w:t xml:space="preserve"> </w:t>
      </w:r>
    </w:p>
    <w:p w14:paraId="36626EC9" w14:textId="77777777" w:rsidR="00E96F6D" w:rsidRDefault="006E21CE">
      <w:pPr>
        <w:spacing w:after="0" w:line="259" w:lineRule="auto"/>
        <w:ind w:left="0" w:firstLine="0"/>
      </w:pPr>
      <w:r>
        <w:t xml:space="preserve"> </w:t>
      </w:r>
    </w:p>
    <w:p w14:paraId="7940E5B7" w14:textId="77777777" w:rsidR="00E96F6D" w:rsidRDefault="006E21CE">
      <w:pPr>
        <w:ind w:left="0" w:right="13"/>
      </w:pPr>
      <w:r>
        <w:t>Patients with ADHD a</w:t>
      </w:r>
      <w:r>
        <w:t xml:space="preserve">re referred, assessed, and diagnosed across the 3 acute hospital sites. Our systems do not enable us to split data accurately and electronically extract what you have requested. In order to provide you with the level of detail you have requested, we would </w:t>
      </w:r>
      <w:r>
        <w:t>have to do a manual trawl of patient notes held across all hospital sites to determine whether patients have been referred, assessed or diagnosed with ADHD. From our preliminary assessment, we estimate that to comply with your particular request would exce</w:t>
      </w:r>
      <w:r>
        <w:t>ed the appropriate costs limit under section 12 of the Freedom of Information Act 2000.  This is currently £450. In reaching this decision we estimate that it would take staff in excess of 12,500 hours to locate and review the patient notes. This figure is</w:t>
      </w:r>
      <w:r>
        <w:t xml:space="preserve"> based on a timescale of 15 minutes per patient record, there being over 50,000 patient records to review for the time period specified. Therefore, to obtain the data would work out at approximately 12,000 hours @ £25.00 per hour (cost permitted under the </w:t>
      </w:r>
      <w:r>
        <w:t>Act) = £312,500.</w:t>
      </w:r>
      <w:r>
        <w:t xml:space="preserve"> </w:t>
      </w:r>
    </w:p>
    <w:p w14:paraId="49B98F5F" w14:textId="77777777" w:rsidR="00E96F6D" w:rsidRDefault="006E21CE">
      <w:pPr>
        <w:spacing w:after="0" w:line="259" w:lineRule="auto"/>
        <w:ind w:left="0" w:firstLine="0"/>
      </w:pPr>
      <w:r>
        <w:t xml:space="preserve"> </w:t>
      </w:r>
    </w:p>
    <w:p w14:paraId="66507034" w14:textId="62A7335D" w:rsidR="00E96F6D" w:rsidRDefault="006E21CE">
      <w:pPr>
        <w:spacing w:after="0" w:line="259" w:lineRule="auto"/>
        <w:ind w:left="0" w:firstLine="0"/>
      </w:pPr>
      <w:r>
        <w:t xml:space="preserve"> </w:t>
      </w:r>
    </w:p>
    <w:sectPr w:rsidR="00E96F6D">
      <w:pgSz w:w="11906" w:h="16838"/>
      <w:pgMar w:top="600" w:right="1245" w:bottom="1008"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6F6D"/>
    <w:rsid w:val="006E21CE"/>
    <w:rsid w:val="00E96F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A853AE"/>
  <w15:docId w15:val="{A0EF3F5D-4E1A-46F1-8218-D52758418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711</Words>
  <Characters>4059</Characters>
  <Application>Microsoft Office Word</Application>
  <DocSecurity>0</DocSecurity>
  <Lines>33</Lines>
  <Paragraphs>9</Paragraphs>
  <ScaleCrop>false</ScaleCrop>
  <Company>Betsi Cadwaladr University Health Board</Company>
  <LinksUpToDate>false</LinksUpToDate>
  <CharactersWithSpaces>4761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Alaw Thomas (BCUHB - Digital, Data and Technology)</dc:creator>
  <cp:keywords/>
  <cp:lastModifiedBy>Carolina Teixeira (BCUHB - Governance &amp; Communications)</cp:lastModifiedBy>
  <cp:revision>2</cp:revision>
  <dcterms:created xsi:type="dcterms:W3CDTF">2024-05-21T09:36:00Z</dcterms:created>
  <dcterms:modified xsi:type="dcterms:W3CDTF">2024-05-21T09:36:00Z</dcterms:modified>
</cp:coreProperties>
</file>