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1" w:type="dxa"/>
        <w:jc w:val="center"/>
        <w:tblLook w:val="00A0" w:firstRow="1" w:lastRow="0" w:firstColumn="1" w:lastColumn="0" w:noHBand="0" w:noVBand="0"/>
      </w:tblPr>
      <w:tblGrid>
        <w:gridCol w:w="2444"/>
        <w:gridCol w:w="1475"/>
        <w:gridCol w:w="5902"/>
      </w:tblGrid>
      <w:tr w:rsidR="00977C80" w:rsidRPr="00573C9F" w14:paraId="4452193D" w14:textId="77777777" w:rsidTr="003C65C6">
        <w:trPr>
          <w:cantSplit/>
          <w:jc w:val="center"/>
        </w:trPr>
        <w:tc>
          <w:tcPr>
            <w:tcW w:w="3919" w:type="dxa"/>
            <w:gridSpan w:val="2"/>
            <w:tcBorders>
              <w:top w:val="single" w:sz="4" w:space="0" w:color="auto"/>
              <w:left w:val="single" w:sz="4" w:space="0" w:color="auto"/>
              <w:bottom w:val="single" w:sz="4" w:space="0" w:color="auto"/>
            </w:tcBorders>
          </w:tcPr>
          <w:p w14:paraId="2EFB5900" w14:textId="77777777" w:rsidR="00977C80" w:rsidRPr="006D6D6A" w:rsidRDefault="00977C80" w:rsidP="00866C06">
            <w:pPr>
              <w:jc w:val="both"/>
              <w:rPr>
                <w:b/>
                <w:i/>
                <w:sz w:val="36"/>
                <w:szCs w:val="36"/>
              </w:rPr>
            </w:pPr>
            <w:bookmarkStart w:id="0" w:name="_GoBack"/>
            <w:bookmarkEnd w:id="0"/>
          </w:p>
        </w:tc>
        <w:tc>
          <w:tcPr>
            <w:tcW w:w="5902" w:type="dxa"/>
            <w:tcBorders>
              <w:top w:val="single" w:sz="4" w:space="0" w:color="auto"/>
              <w:bottom w:val="single" w:sz="4" w:space="0" w:color="auto"/>
              <w:right w:val="single" w:sz="4" w:space="0" w:color="auto"/>
            </w:tcBorders>
          </w:tcPr>
          <w:p w14:paraId="7B922BC3" w14:textId="77777777" w:rsidR="00977C80" w:rsidRDefault="00977C80" w:rsidP="003C65C6">
            <w:pPr>
              <w:jc w:val="both"/>
              <w:rPr>
                <w:noProof/>
              </w:rPr>
            </w:pPr>
            <w:r w:rsidRPr="00D4050A">
              <w:rPr>
                <w:noProof/>
              </w:rPr>
              <w:drawing>
                <wp:inline distT="0" distB="0" distL="0" distR="0" wp14:anchorId="38DA1BA8" wp14:editId="2263D1D4">
                  <wp:extent cx="2433320" cy="588645"/>
                  <wp:effectExtent l="0" t="0" r="5080" b="1905"/>
                  <wp:docPr id="4" name="Picture 4" descr="Betsi Cadwaladr LH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tsi Cadwaladr LHB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3320" cy="588645"/>
                          </a:xfrm>
                          <a:prstGeom prst="rect">
                            <a:avLst/>
                          </a:prstGeom>
                          <a:noFill/>
                          <a:ln>
                            <a:noFill/>
                          </a:ln>
                        </pic:spPr>
                      </pic:pic>
                    </a:graphicData>
                  </a:graphic>
                </wp:inline>
              </w:drawing>
            </w:r>
          </w:p>
          <w:p w14:paraId="31A5E515" w14:textId="77777777" w:rsidR="00977C80" w:rsidRPr="003573E4" w:rsidRDefault="00977C80" w:rsidP="003C65C6">
            <w:pPr>
              <w:jc w:val="both"/>
              <w:rPr>
                <w:i/>
                <w:noProof/>
              </w:rPr>
            </w:pPr>
          </w:p>
        </w:tc>
      </w:tr>
      <w:tr w:rsidR="00977C80" w:rsidRPr="00573C9F" w14:paraId="7D295C46" w14:textId="77777777" w:rsidTr="003C65C6">
        <w:trPr>
          <w:cantSplit/>
          <w:jc w:val="center"/>
        </w:trPr>
        <w:tc>
          <w:tcPr>
            <w:tcW w:w="9821" w:type="dxa"/>
            <w:gridSpan w:val="3"/>
            <w:tcBorders>
              <w:top w:val="single" w:sz="4" w:space="0" w:color="auto"/>
              <w:left w:val="single" w:sz="4" w:space="0" w:color="auto"/>
              <w:bottom w:val="single" w:sz="4" w:space="0" w:color="auto"/>
              <w:right w:val="single" w:sz="4" w:space="0" w:color="auto"/>
            </w:tcBorders>
          </w:tcPr>
          <w:p w14:paraId="1C9F255C" w14:textId="77777777" w:rsidR="00977C80" w:rsidRDefault="00977C80" w:rsidP="003C65C6">
            <w:pPr>
              <w:jc w:val="both"/>
              <w:rPr>
                <w:b/>
                <w:noProof/>
              </w:rPr>
            </w:pPr>
          </w:p>
          <w:p w14:paraId="2068F8FD" w14:textId="77777777" w:rsidR="00977C80" w:rsidRPr="00E40C24" w:rsidRDefault="00977C80" w:rsidP="003C65C6">
            <w:pPr>
              <w:jc w:val="center"/>
              <w:rPr>
                <w:b/>
                <w:noProof/>
                <w:sz w:val="28"/>
                <w:szCs w:val="28"/>
              </w:rPr>
            </w:pPr>
            <w:r w:rsidRPr="009320E5">
              <w:rPr>
                <w:b/>
                <w:noProof/>
                <w:sz w:val="28"/>
                <w:szCs w:val="28"/>
              </w:rPr>
              <w:t>Chair’s Report</w:t>
            </w:r>
          </w:p>
          <w:p w14:paraId="7624CF15" w14:textId="77777777" w:rsidR="00977C80" w:rsidRPr="003573E4" w:rsidRDefault="00977C80" w:rsidP="003C65C6">
            <w:pPr>
              <w:jc w:val="both"/>
              <w:rPr>
                <w:b/>
                <w:noProof/>
              </w:rPr>
            </w:pPr>
          </w:p>
        </w:tc>
      </w:tr>
      <w:tr w:rsidR="00977C80" w:rsidRPr="00573C9F" w14:paraId="4EF112D9" w14:textId="77777777" w:rsidTr="003C65C6">
        <w:trPr>
          <w:cantSplit/>
          <w:jc w:val="center"/>
        </w:trPr>
        <w:tc>
          <w:tcPr>
            <w:tcW w:w="2444" w:type="dxa"/>
            <w:tcBorders>
              <w:top w:val="single" w:sz="4" w:space="0" w:color="auto"/>
              <w:bottom w:val="single" w:sz="4" w:space="0" w:color="auto"/>
            </w:tcBorders>
          </w:tcPr>
          <w:p w14:paraId="36C5EF2D" w14:textId="77777777" w:rsidR="00977C80" w:rsidRPr="0028448F" w:rsidRDefault="00977C80" w:rsidP="003C65C6">
            <w:pPr>
              <w:jc w:val="both"/>
              <w:rPr>
                <w:b/>
              </w:rPr>
            </w:pPr>
          </w:p>
        </w:tc>
        <w:tc>
          <w:tcPr>
            <w:tcW w:w="7377" w:type="dxa"/>
            <w:gridSpan w:val="2"/>
            <w:tcBorders>
              <w:top w:val="single" w:sz="4" w:space="0" w:color="auto"/>
              <w:bottom w:val="single" w:sz="4" w:space="0" w:color="auto"/>
            </w:tcBorders>
          </w:tcPr>
          <w:p w14:paraId="62757407" w14:textId="77777777" w:rsidR="00977C80" w:rsidRPr="0028448F" w:rsidRDefault="00977C80" w:rsidP="003C65C6">
            <w:pPr>
              <w:jc w:val="both"/>
              <w:rPr>
                <w:b/>
              </w:rPr>
            </w:pPr>
          </w:p>
        </w:tc>
      </w:tr>
      <w:tr w:rsidR="00977C80" w:rsidRPr="00573C9F" w14:paraId="288A4767" w14:textId="77777777" w:rsidTr="003C65C6">
        <w:trPr>
          <w:cantSplit/>
          <w:jc w:val="center"/>
        </w:trPr>
        <w:tc>
          <w:tcPr>
            <w:tcW w:w="2444" w:type="dxa"/>
            <w:tcBorders>
              <w:top w:val="single" w:sz="4" w:space="0" w:color="auto"/>
              <w:left w:val="single" w:sz="4" w:space="0" w:color="auto"/>
              <w:bottom w:val="single" w:sz="4" w:space="0" w:color="auto"/>
              <w:right w:val="single" w:sz="4" w:space="0" w:color="auto"/>
            </w:tcBorders>
          </w:tcPr>
          <w:p w14:paraId="116CF4AA" w14:textId="77777777" w:rsidR="00977C80" w:rsidRPr="0028448F" w:rsidRDefault="00977C80" w:rsidP="006E457F">
            <w:pPr>
              <w:rPr>
                <w:b/>
              </w:rPr>
            </w:pPr>
            <w:r>
              <w:rPr>
                <w:b/>
              </w:rPr>
              <w:t>Name of Committee</w:t>
            </w:r>
            <w:r w:rsidRPr="0028448F">
              <w:rPr>
                <w:b/>
              </w:rPr>
              <w:t>:</w:t>
            </w:r>
          </w:p>
        </w:tc>
        <w:tc>
          <w:tcPr>
            <w:tcW w:w="7377" w:type="dxa"/>
            <w:gridSpan w:val="2"/>
            <w:tcBorders>
              <w:top w:val="single" w:sz="4" w:space="0" w:color="auto"/>
              <w:left w:val="single" w:sz="4" w:space="0" w:color="auto"/>
              <w:bottom w:val="single" w:sz="4" w:space="0" w:color="auto"/>
              <w:right w:val="single" w:sz="4" w:space="0" w:color="auto"/>
            </w:tcBorders>
          </w:tcPr>
          <w:p w14:paraId="1BF2CB77" w14:textId="77777777" w:rsidR="00977C80" w:rsidRDefault="00A93922" w:rsidP="003C65C6">
            <w:pPr>
              <w:jc w:val="both"/>
            </w:pPr>
            <w:r w:rsidRPr="00841AE6">
              <w:t>Targeted Intervention Improvement Framework (TIIF) Steering Group</w:t>
            </w:r>
          </w:p>
          <w:p w14:paraId="4C74666D" w14:textId="77777777" w:rsidR="00B23689" w:rsidRPr="00841AE6" w:rsidRDefault="00B23689" w:rsidP="003C65C6">
            <w:pPr>
              <w:jc w:val="both"/>
            </w:pPr>
          </w:p>
        </w:tc>
      </w:tr>
      <w:tr w:rsidR="00977C80" w:rsidRPr="00573C9F" w14:paraId="2F786B37" w14:textId="77777777" w:rsidTr="003C6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444" w:type="dxa"/>
            <w:tcBorders>
              <w:bottom w:val="single" w:sz="4" w:space="0" w:color="auto"/>
            </w:tcBorders>
          </w:tcPr>
          <w:p w14:paraId="5BE21228" w14:textId="77777777" w:rsidR="00977C80" w:rsidRDefault="00977C80" w:rsidP="006E457F">
            <w:pPr>
              <w:rPr>
                <w:b/>
              </w:rPr>
            </w:pPr>
            <w:r>
              <w:rPr>
                <w:b/>
              </w:rPr>
              <w:t>Meeting date:</w:t>
            </w:r>
          </w:p>
        </w:tc>
        <w:tc>
          <w:tcPr>
            <w:tcW w:w="7377" w:type="dxa"/>
            <w:gridSpan w:val="2"/>
          </w:tcPr>
          <w:p w14:paraId="0ADF7D46" w14:textId="595AF892" w:rsidR="00977C80" w:rsidRDefault="00946B7D" w:rsidP="003C65C6">
            <w:pPr>
              <w:jc w:val="both"/>
            </w:pPr>
            <w:r>
              <w:t>22.09</w:t>
            </w:r>
            <w:r w:rsidR="00C234D9">
              <w:t>.22</w:t>
            </w:r>
          </w:p>
          <w:p w14:paraId="3AD599C2" w14:textId="77777777" w:rsidR="00B23689" w:rsidRPr="00841AE6" w:rsidRDefault="00B23689" w:rsidP="003C65C6">
            <w:pPr>
              <w:jc w:val="both"/>
            </w:pPr>
          </w:p>
        </w:tc>
      </w:tr>
      <w:tr w:rsidR="00977C80" w:rsidRPr="00573C9F" w14:paraId="25054AFA" w14:textId="77777777" w:rsidTr="003C6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444" w:type="dxa"/>
          </w:tcPr>
          <w:p w14:paraId="39B5D840" w14:textId="77777777" w:rsidR="00977C80" w:rsidRDefault="00977C80" w:rsidP="006E457F">
            <w:pPr>
              <w:rPr>
                <w:b/>
              </w:rPr>
            </w:pPr>
            <w:r>
              <w:rPr>
                <w:b/>
              </w:rPr>
              <w:t>Name of Chair:</w:t>
            </w:r>
          </w:p>
        </w:tc>
        <w:tc>
          <w:tcPr>
            <w:tcW w:w="7377" w:type="dxa"/>
            <w:gridSpan w:val="2"/>
          </w:tcPr>
          <w:p w14:paraId="1035DCBB" w14:textId="1737ED99" w:rsidR="00B23689" w:rsidRDefault="00C036D6" w:rsidP="00C234D9">
            <w:pPr>
              <w:jc w:val="both"/>
              <w:rPr>
                <w:color w:val="000000" w:themeColor="text1"/>
                <w:lang w:eastAsia="en-US"/>
              </w:rPr>
            </w:pPr>
            <w:r>
              <w:t>Phil Meakin, Associate Director of Governance</w:t>
            </w:r>
            <w:r w:rsidR="00EC62F6">
              <w:t xml:space="preserve"> (on behalf of Gill Harris)</w:t>
            </w:r>
          </w:p>
          <w:p w14:paraId="7D619E5D" w14:textId="77777777" w:rsidR="00C234D9" w:rsidRPr="00841AE6" w:rsidRDefault="00C234D9" w:rsidP="00C234D9">
            <w:pPr>
              <w:jc w:val="both"/>
            </w:pPr>
          </w:p>
        </w:tc>
      </w:tr>
      <w:tr w:rsidR="00977C80" w:rsidRPr="00573C9F" w14:paraId="270CA202" w14:textId="77777777" w:rsidTr="003C6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444" w:type="dxa"/>
            <w:tcBorders>
              <w:top w:val="single" w:sz="4" w:space="0" w:color="auto"/>
              <w:left w:val="single" w:sz="4" w:space="0" w:color="auto"/>
              <w:bottom w:val="single" w:sz="4" w:space="0" w:color="auto"/>
              <w:right w:val="single" w:sz="4" w:space="0" w:color="auto"/>
            </w:tcBorders>
          </w:tcPr>
          <w:p w14:paraId="571A0F98" w14:textId="77777777" w:rsidR="00977C80" w:rsidRDefault="00977C80" w:rsidP="006E457F">
            <w:pPr>
              <w:rPr>
                <w:b/>
              </w:rPr>
            </w:pPr>
            <w:r>
              <w:rPr>
                <w:b/>
              </w:rPr>
              <w:t>Responsible Director:</w:t>
            </w:r>
          </w:p>
        </w:tc>
        <w:tc>
          <w:tcPr>
            <w:tcW w:w="7377" w:type="dxa"/>
            <w:gridSpan w:val="2"/>
          </w:tcPr>
          <w:p w14:paraId="1DD50B98" w14:textId="77777777" w:rsidR="00B23689" w:rsidRDefault="00C234D9" w:rsidP="00C234D9">
            <w:pPr>
              <w:jc w:val="both"/>
              <w:rPr>
                <w:color w:val="000000" w:themeColor="text1"/>
                <w:lang w:eastAsia="en-US"/>
              </w:rPr>
            </w:pPr>
            <w:r w:rsidRPr="00841AE6">
              <w:t>Gill Harris, Deputy Chief Executive</w:t>
            </w:r>
            <w:r>
              <w:t xml:space="preserve"> </w:t>
            </w:r>
            <w:r w:rsidRPr="00841AE6">
              <w:t xml:space="preserve">/ </w:t>
            </w:r>
            <w:r>
              <w:rPr>
                <w:color w:val="000000" w:themeColor="text1"/>
                <w:lang w:eastAsia="en-US"/>
              </w:rPr>
              <w:t>Executive Director of Integrated Clinical Delivery</w:t>
            </w:r>
          </w:p>
          <w:p w14:paraId="112A83BD" w14:textId="77777777" w:rsidR="00C234D9" w:rsidRPr="00841AE6" w:rsidRDefault="00C234D9" w:rsidP="00C234D9">
            <w:pPr>
              <w:jc w:val="both"/>
            </w:pPr>
          </w:p>
        </w:tc>
      </w:tr>
      <w:tr w:rsidR="00977C80" w:rsidRPr="00573C9F" w14:paraId="663CB790" w14:textId="77777777" w:rsidTr="003C65C6">
        <w:trPr>
          <w:jc w:val="center"/>
        </w:trPr>
        <w:tc>
          <w:tcPr>
            <w:tcW w:w="2444" w:type="dxa"/>
            <w:tcBorders>
              <w:top w:val="single" w:sz="4" w:space="0" w:color="auto"/>
              <w:left w:val="single" w:sz="4" w:space="0" w:color="auto"/>
              <w:bottom w:val="single" w:sz="4" w:space="0" w:color="auto"/>
              <w:right w:val="single" w:sz="4" w:space="0" w:color="auto"/>
            </w:tcBorders>
          </w:tcPr>
          <w:p w14:paraId="2AAFF0FB" w14:textId="77777777" w:rsidR="00977C80" w:rsidRPr="0097321C" w:rsidRDefault="00977C80" w:rsidP="006E457F">
            <w:pPr>
              <w:rPr>
                <w:b/>
              </w:rPr>
            </w:pPr>
            <w:r w:rsidRPr="0097321C">
              <w:rPr>
                <w:b/>
              </w:rPr>
              <w:t xml:space="preserve">Summary of business discussed: </w:t>
            </w:r>
          </w:p>
          <w:p w14:paraId="3ABCA740" w14:textId="77777777" w:rsidR="00977C80" w:rsidRPr="0028448F" w:rsidRDefault="00977C80" w:rsidP="006E457F">
            <w:pPr>
              <w:rPr>
                <w:b/>
              </w:rPr>
            </w:pPr>
          </w:p>
        </w:tc>
        <w:tc>
          <w:tcPr>
            <w:tcW w:w="7377" w:type="dxa"/>
            <w:gridSpan w:val="2"/>
            <w:tcBorders>
              <w:top w:val="single" w:sz="4" w:space="0" w:color="auto"/>
              <w:left w:val="single" w:sz="4" w:space="0" w:color="auto"/>
              <w:bottom w:val="single" w:sz="4" w:space="0" w:color="auto"/>
              <w:right w:val="single" w:sz="4" w:space="0" w:color="auto"/>
            </w:tcBorders>
          </w:tcPr>
          <w:p w14:paraId="1E259C45" w14:textId="30D3381C" w:rsidR="005B6525" w:rsidRPr="005B6525" w:rsidRDefault="005B6525" w:rsidP="00B14CA1">
            <w:pPr>
              <w:pStyle w:val="ListParagraph"/>
              <w:numPr>
                <w:ilvl w:val="0"/>
                <w:numId w:val="12"/>
              </w:numPr>
              <w:spacing w:after="160" w:line="256" w:lineRule="auto"/>
              <w:rPr>
                <w:bCs/>
              </w:rPr>
            </w:pPr>
            <w:r>
              <w:rPr>
                <w:bCs/>
              </w:rPr>
              <w:t xml:space="preserve">Phil Meakin chaired the meeting as Gill Harris and Molly Marcu were unable to attend therefore the meeting was not quorate however contact was made outside of the meeting </w:t>
            </w:r>
            <w:r>
              <w:t>to agree the key discussion items and gain ratification on proposals.</w:t>
            </w:r>
          </w:p>
          <w:p w14:paraId="321C4D9C" w14:textId="72D28B3E" w:rsidR="005B6525" w:rsidRPr="005B6525" w:rsidRDefault="005B6525" w:rsidP="00B14CA1">
            <w:pPr>
              <w:pStyle w:val="ListParagraph"/>
              <w:numPr>
                <w:ilvl w:val="0"/>
                <w:numId w:val="12"/>
              </w:numPr>
              <w:spacing w:after="160" w:line="256" w:lineRule="auto"/>
              <w:rPr>
                <w:bCs/>
              </w:rPr>
            </w:pPr>
            <w:r>
              <w:t xml:space="preserve">Feedback was provided on the letter received from Judith Paget, Welsh Government (WG) an confirmation provided that the actions included in the letter are being discussed with the Executive Team to ensure they are delivered ahead of the next meeting with WG.  </w:t>
            </w:r>
          </w:p>
          <w:p w14:paraId="46B8F33F" w14:textId="77777777" w:rsidR="00940CBE" w:rsidRPr="00940CBE" w:rsidRDefault="005B6525" w:rsidP="00940CBE">
            <w:pPr>
              <w:pStyle w:val="ListParagraph"/>
              <w:numPr>
                <w:ilvl w:val="0"/>
                <w:numId w:val="12"/>
              </w:numPr>
              <w:spacing w:after="160" w:line="256" w:lineRule="auto"/>
              <w:rPr>
                <w:bCs/>
              </w:rPr>
            </w:pPr>
            <w:r>
              <w:t>The first meeting of the TI Working Group has taken place</w:t>
            </w:r>
            <w:r w:rsidR="00940CBE">
              <w:t xml:space="preserve">, the purpose of the Group is to triangulate information across the domains and </w:t>
            </w:r>
            <w:r>
              <w:t>focus on whether the evidence being submitted is having an impact on the outcomes</w:t>
            </w:r>
            <w:r w:rsidR="00940CBE">
              <w:t>.</w:t>
            </w:r>
          </w:p>
          <w:p w14:paraId="1D728BB9" w14:textId="073CE8BB" w:rsidR="00940CBE" w:rsidRPr="00940CBE" w:rsidRDefault="00940CBE" w:rsidP="00940CBE">
            <w:pPr>
              <w:pStyle w:val="ListParagraph"/>
              <w:numPr>
                <w:ilvl w:val="0"/>
                <w:numId w:val="12"/>
              </w:numPr>
              <w:spacing w:after="160" w:line="256" w:lineRule="auto"/>
              <w:rPr>
                <w:bCs/>
              </w:rPr>
            </w:pPr>
            <w:r>
              <w:t xml:space="preserve">A request has been sent to all domains to review their maturity matrices in light of YGC being added to the TI programme to ensure they align where applicable.   </w:t>
            </w:r>
          </w:p>
          <w:p w14:paraId="512DD477" w14:textId="4F406B75" w:rsidR="009D48CE" w:rsidRPr="00940CBE" w:rsidRDefault="00940CBE" w:rsidP="00940CBE">
            <w:pPr>
              <w:pStyle w:val="ListParagraph"/>
              <w:numPr>
                <w:ilvl w:val="0"/>
                <w:numId w:val="12"/>
              </w:numPr>
              <w:spacing w:after="160" w:line="256" w:lineRule="auto"/>
              <w:rPr>
                <w:bCs/>
              </w:rPr>
            </w:pPr>
            <w:r>
              <w:t xml:space="preserve">The first meeting of the TI Evidence of Outcomes Group has taken place with discussion around the Terms of Reference, the membership of the Group and the proposed </w:t>
            </w:r>
            <w:proofErr w:type="spellStart"/>
            <w:r>
              <w:t>self assessment</w:t>
            </w:r>
            <w:proofErr w:type="spellEnd"/>
            <w:r>
              <w:t xml:space="preserve"> scores.  </w:t>
            </w:r>
            <w:r w:rsidR="005B6525">
              <w:t xml:space="preserve"> </w:t>
            </w:r>
          </w:p>
        </w:tc>
      </w:tr>
      <w:tr w:rsidR="00977C80" w:rsidRPr="00573C9F" w14:paraId="2CE13889" w14:textId="77777777" w:rsidTr="003C65C6">
        <w:trPr>
          <w:trHeight w:val="918"/>
          <w:jc w:val="center"/>
        </w:trPr>
        <w:tc>
          <w:tcPr>
            <w:tcW w:w="2444" w:type="dxa"/>
            <w:tcBorders>
              <w:top w:val="single" w:sz="4" w:space="0" w:color="auto"/>
              <w:left w:val="single" w:sz="4" w:space="0" w:color="auto"/>
              <w:bottom w:val="single" w:sz="4" w:space="0" w:color="auto"/>
              <w:right w:val="single" w:sz="4" w:space="0" w:color="auto"/>
            </w:tcBorders>
          </w:tcPr>
          <w:p w14:paraId="425B0374" w14:textId="77777777" w:rsidR="00977C80" w:rsidRDefault="00977C80" w:rsidP="006E457F">
            <w:pPr>
              <w:rPr>
                <w:b/>
              </w:rPr>
            </w:pPr>
            <w:r>
              <w:rPr>
                <w:b/>
              </w:rPr>
              <w:t>Key assurances provided at this meeting:</w:t>
            </w:r>
          </w:p>
        </w:tc>
        <w:tc>
          <w:tcPr>
            <w:tcW w:w="7377" w:type="dxa"/>
            <w:gridSpan w:val="2"/>
            <w:tcBorders>
              <w:top w:val="single" w:sz="4" w:space="0" w:color="auto"/>
              <w:left w:val="single" w:sz="4" w:space="0" w:color="auto"/>
              <w:bottom w:val="single" w:sz="4" w:space="0" w:color="auto"/>
              <w:right w:val="single" w:sz="4" w:space="0" w:color="auto"/>
            </w:tcBorders>
          </w:tcPr>
          <w:p w14:paraId="38A04172" w14:textId="77777777" w:rsidR="00977C80" w:rsidRDefault="00A93922" w:rsidP="00977C80">
            <w:pPr>
              <w:numPr>
                <w:ilvl w:val="0"/>
                <w:numId w:val="2"/>
              </w:numPr>
              <w:autoSpaceDE w:val="0"/>
              <w:autoSpaceDN w:val="0"/>
              <w:adjustRightInd w:val="0"/>
              <w:jc w:val="both"/>
              <w:rPr>
                <w:rFonts w:eastAsia="Calibri"/>
              </w:rPr>
            </w:pPr>
            <w:r>
              <w:rPr>
                <w:rFonts w:eastAsia="Calibri"/>
              </w:rPr>
              <w:t xml:space="preserve">Governance arrangements are in place to </w:t>
            </w:r>
            <w:r w:rsidR="00762566">
              <w:rPr>
                <w:rFonts w:eastAsia="Calibri"/>
              </w:rPr>
              <w:t>monitor</w:t>
            </w:r>
            <w:r>
              <w:rPr>
                <w:rFonts w:eastAsia="Calibri"/>
              </w:rPr>
              <w:t xml:space="preserve"> TI progress via Steering Group oversight</w:t>
            </w:r>
            <w:r w:rsidR="00DB67DC">
              <w:rPr>
                <w:rFonts w:eastAsia="Calibri"/>
              </w:rPr>
              <w:t>.</w:t>
            </w:r>
          </w:p>
          <w:p w14:paraId="76FB971D" w14:textId="77777777" w:rsidR="00DD7770" w:rsidRPr="00352139" w:rsidRDefault="00DD7770" w:rsidP="0099164C">
            <w:pPr>
              <w:autoSpaceDE w:val="0"/>
              <w:autoSpaceDN w:val="0"/>
              <w:adjustRightInd w:val="0"/>
              <w:ind w:left="360"/>
              <w:jc w:val="both"/>
              <w:rPr>
                <w:rFonts w:eastAsia="Calibri"/>
              </w:rPr>
            </w:pPr>
          </w:p>
        </w:tc>
      </w:tr>
      <w:tr w:rsidR="00977C80" w:rsidRPr="00573C9F" w14:paraId="19A2BED2" w14:textId="77777777" w:rsidTr="003C65C6">
        <w:trPr>
          <w:jc w:val="center"/>
        </w:trPr>
        <w:tc>
          <w:tcPr>
            <w:tcW w:w="2444" w:type="dxa"/>
            <w:tcBorders>
              <w:top w:val="single" w:sz="4" w:space="0" w:color="auto"/>
              <w:left w:val="single" w:sz="4" w:space="0" w:color="auto"/>
              <w:bottom w:val="single" w:sz="4" w:space="0" w:color="auto"/>
              <w:right w:val="single" w:sz="4" w:space="0" w:color="auto"/>
            </w:tcBorders>
          </w:tcPr>
          <w:p w14:paraId="5742A321" w14:textId="77777777" w:rsidR="00977C80" w:rsidRDefault="00977C80" w:rsidP="006E457F">
            <w:pPr>
              <w:rPr>
                <w:b/>
              </w:rPr>
            </w:pPr>
            <w:r>
              <w:rPr>
                <w:b/>
              </w:rPr>
              <w:t xml:space="preserve">Key risks including </w:t>
            </w:r>
            <w:r w:rsidRPr="0097321C">
              <w:rPr>
                <w:b/>
              </w:rPr>
              <w:t>mitigating actions</w:t>
            </w:r>
            <w:r>
              <w:rPr>
                <w:b/>
                <w:i/>
                <w:color w:val="FF0000"/>
              </w:rPr>
              <w:t xml:space="preserve"> </w:t>
            </w:r>
            <w:r w:rsidR="00263135">
              <w:rPr>
                <w:b/>
              </w:rPr>
              <w:t>and mileston</w:t>
            </w:r>
            <w:r w:rsidRPr="00E674D3">
              <w:rPr>
                <w:b/>
              </w:rPr>
              <w:t>es</w:t>
            </w:r>
          </w:p>
        </w:tc>
        <w:tc>
          <w:tcPr>
            <w:tcW w:w="7377" w:type="dxa"/>
            <w:gridSpan w:val="2"/>
            <w:tcBorders>
              <w:top w:val="single" w:sz="4" w:space="0" w:color="auto"/>
              <w:left w:val="single" w:sz="4" w:space="0" w:color="auto"/>
              <w:bottom w:val="single" w:sz="4" w:space="0" w:color="auto"/>
              <w:right w:val="single" w:sz="4" w:space="0" w:color="auto"/>
            </w:tcBorders>
          </w:tcPr>
          <w:p w14:paraId="32790E25" w14:textId="77777777" w:rsidR="00F87FF9" w:rsidRPr="003B66B7" w:rsidRDefault="009D48CE" w:rsidP="00771F62">
            <w:pPr>
              <w:pStyle w:val="ListParagraph"/>
              <w:numPr>
                <w:ilvl w:val="0"/>
                <w:numId w:val="2"/>
              </w:numPr>
            </w:pPr>
            <w:r>
              <w:t>No risks were raised</w:t>
            </w:r>
          </w:p>
          <w:p w14:paraId="69205D28" w14:textId="77777777" w:rsidR="003B66B7" w:rsidRPr="00771F62" w:rsidRDefault="003B66B7" w:rsidP="003B66B7">
            <w:pPr>
              <w:pStyle w:val="ListParagraph"/>
              <w:ind w:left="360"/>
            </w:pPr>
          </w:p>
        </w:tc>
      </w:tr>
      <w:tr w:rsidR="00977C80" w:rsidRPr="00573C9F" w14:paraId="69E0BA24" w14:textId="77777777" w:rsidTr="003C65C6">
        <w:trPr>
          <w:jc w:val="center"/>
        </w:trPr>
        <w:tc>
          <w:tcPr>
            <w:tcW w:w="2444" w:type="dxa"/>
            <w:tcBorders>
              <w:top w:val="single" w:sz="4" w:space="0" w:color="auto"/>
              <w:left w:val="single" w:sz="4" w:space="0" w:color="auto"/>
              <w:bottom w:val="single" w:sz="4" w:space="0" w:color="auto"/>
              <w:right w:val="single" w:sz="4" w:space="0" w:color="auto"/>
            </w:tcBorders>
          </w:tcPr>
          <w:p w14:paraId="137F385D" w14:textId="77777777" w:rsidR="00977C80" w:rsidRDefault="00841AE6" w:rsidP="006E457F">
            <w:pPr>
              <w:rPr>
                <w:b/>
              </w:rPr>
            </w:pPr>
            <w:r>
              <w:rPr>
                <w:b/>
              </w:rPr>
              <w:lastRenderedPageBreak/>
              <w:t>TIIF</w:t>
            </w:r>
            <w:r w:rsidR="00977C80">
              <w:rPr>
                <w:b/>
              </w:rPr>
              <w:t xml:space="preserve"> </w:t>
            </w:r>
            <w:r>
              <w:rPr>
                <w:b/>
              </w:rPr>
              <w:t>Domain</w:t>
            </w:r>
            <w:r w:rsidR="00977C80">
              <w:rPr>
                <w:b/>
              </w:rPr>
              <w:t xml:space="preserve"> addressed</w:t>
            </w:r>
          </w:p>
        </w:tc>
        <w:tc>
          <w:tcPr>
            <w:tcW w:w="7377" w:type="dxa"/>
            <w:gridSpan w:val="2"/>
            <w:tcBorders>
              <w:top w:val="single" w:sz="4" w:space="0" w:color="auto"/>
              <w:left w:val="single" w:sz="4" w:space="0" w:color="auto"/>
              <w:bottom w:val="single" w:sz="4" w:space="0" w:color="auto"/>
              <w:right w:val="single" w:sz="4" w:space="0" w:color="auto"/>
            </w:tcBorders>
          </w:tcPr>
          <w:p w14:paraId="12A1F27F" w14:textId="77777777" w:rsidR="00977C80" w:rsidRPr="0028448F" w:rsidRDefault="00841AE6" w:rsidP="00977C80">
            <w:pPr>
              <w:numPr>
                <w:ilvl w:val="0"/>
                <w:numId w:val="1"/>
              </w:numPr>
              <w:jc w:val="both"/>
            </w:pPr>
            <w:r>
              <w:t>All</w:t>
            </w:r>
          </w:p>
        </w:tc>
      </w:tr>
      <w:tr w:rsidR="00977C80" w:rsidRPr="00573C9F" w14:paraId="4D07F74D" w14:textId="77777777" w:rsidTr="003C6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8"/>
          <w:jc w:val="center"/>
        </w:trPr>
        <w:tc>
          <w:tcPr>
            <w:tcW w:w="2444" w:type="dxa"/>
          </w:tcPr>
          <w:p w14:paraId="6D51E645" w14:textId="77777777" w:rsidR="00977C80" w:rsidRDefault="00977C80" w:rsidP="006E457F">
            <w:pPr>
              <w:rPr>
                <w:b/>
              </w:rPr>
            </w:pPr>
            <w:r>
              <w:rPr>
                <w:b/>
              </w:rPr>
              <w:t>Issues to be referred to another Committee</w:t>
            </w:r>
          </w:p>
        </w:tc>
        <w:tc>
          <w:tcPr>
            <w:tcW w:w="7377" w:type="dxa"/>
            <w:gridSpan w:val="2"/>
          </w:tcPr>
          <w:p w14:paraId="79FBD42F" w14:textId="77777777" w:rsidR="00977C80" w:rsidRDefault="00035CE2" w:rsidP="00B54973">
            <w:pPr>
              <w:pStyle w:val="ListParagraph"/>
              <w:numPr>
                <w:ilvl w:val="0"/>
                <w:numId w:val="1"/>
              </w:numPr>
              <w:jc w:val="both"/>
            </w:pPr>
            <w:r>
              <w:t>None</w:t>
            </w:r>
          </w:p>
        </w:tc>
      </w:tr>
      <w:tr w:rsidR="00977C80" w:rsidRPr="00573C9F" w14:paraId="5DAC28FE" w14:textId="77777777" w:rsidTr="003C6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jc w:val="center"/>
        </w:trPr>
        <w:tc>
          <w:tcPr>
            <w:tcW w:w="2444" w:type="dxa"/>
          </w:tcPr>
          <w:p w14:paraId="45A711ED" w14:textId="77777777" w:rsidR="00977C80" w:rsidRDefault="00977C80" w:rsidP="006E457F">
            <w:pPr>
              <w:rPr>
                <w:b/>
              </w:rPr>
            </w:pPr>
            <w:r>
              <w:rPr>
                <w:b/>
              </w:rPr>
              <w:t>Matters requiring escalation to the Board:</w:t>
            </w:r>
          </w:p>
        </w:tc>
        <w:tc>
          <w:tcPr>
            <w:tcW w:w="7377" w:type="dxa"/>
            <w:gridSpan w:val="2"/>
          </w:tcPr>
          <w:p w14:paraId="3567797B" w14:textId="77777777" w:rsidR="00977C80" w:rsidRPr="006D38C7" w:rsidRDefault="00035CE2" w:rsidP="00B54973">
            <w:pPr>
              <w:pStyle w:val="ListParagraph"/>
              <w:numPr>
                <w:ilvl w:val="0"/>
                <w:numId w:val="1"/>
              </w:numPr>
              <w:jc w:val="both"/>
            </w:pPr>
            <w:r>
              <w:t>None</w:t>
            </w:r>
          </w:p>
        </w:tc>
      </w:tr>
      <w:tr w:rsidR="00977C80" w:rsidRPr="00573C9F" w14:paraId="5C077EBB" w14:textId="77777777" w:rsidTr="003C6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jc w:val="center"/>
        </w:trPr>
        <w:tc>
          <w:tcPr>
            <w:tcW w:w="2444" w:type="dxa"/>
          </w:tcPr>
          <w:p w14:paraId="30AD72CA" w14:textId="77777777" w:rsidR="00977C80" w:rsidRDefault="00977C80" w:rsidP="006E457F">
            <w:pPr>
              <w:rPr>
                <w:b/>
              </w:rPr>
            </w:pPr>
            <w:r w:rsidRPr="00B6559F">
              <w:rPr>
                <w:b/>
              </w:rPr>
              <w:t>Well-being of Future Generations Act Sustainable Development Principle</w:t>
            </w:r>
          </w:p>
        </w:tc>
        <w:tc>
          <w:tcPr>
            <w:tcW w:w="7377" w:type="dxa"/>
            <w:gridSpan w:val="2"/>
          </w:tcPr>
          <w:p w14:paraId="0919730C" w14:textId="77777777" w:rsidR="00977C80" w:rsidRDefault="00977C80" w:rsidP="003C65C6">
            <w:pPr>
              <w:jc w:val="both"/>
              <w:rPr>
                <w:i/>
                <w:sz w:val="20"/>
                <w:szCs w:val="16"/>
              </w:rPr>
            </w:pPr>
            <w:r w:rsidRPr="00E40C24">
              <w:rPr>
                <w:i/>
                <w:sz w:val="20"/>
                <w:szCs w:val="16"/>
              </w:rPr>
              <w:t>Describe how the items of business and the development of any proposals considered by the Committee gave adequate consideration to the sustainable development principle</w:t>
            </w:r>
            <w:r>
              <w:rPr>
                <w:i/>
                <w:sz w:val="20"/>
                <w:szCs w:val="16"/>
              </w:rPr>
              <w:t xml:space="preserve">s </w:t>
            </w:r>
            <w:r w:rsidRPr="00E40C24">
              <w:rPr>
                <w:i/>
                <w:sz w:val="20"/>
                <w:szCs w:val="16"/>
              </w:rPr>
              <w:t>or if not indicate the reasons for this.</w:t>
            </w:r>
          </w:p>
          <w:p w14:paraId="305F47A9" w14:textId="77777777" w:rsidR="00977C80" w:rsidRPr="00841AE6" w:rsidRDefault="00977C80" w:rsidP="003C65C6">
            <w:pPr>
              <w:jc w:val="both"/>
              <w:rPr>
                <w:sz w:val="20"/>
                <w:szCs w:val="16"/>
              </w:rPr>
            </w:pPr>
            <w:r w:rsidRPr="00E40C24">
              <w:rPr>
                <w:i/>
                <w:sz w:val="20"/>
                <w:szCs w:val="16"/>
              </w:rPr>
              <w:t>1.</w:t>
            </w:r>
            <w:r w:rsidR="00841AE6">
              <w:rPr>
                <w:i/>
                <w:sz w:val="20"/>
                <w:szCs w:val="16"/>
              </w:rPr>
              <w:t xml:space="preserve"> </w:t>
            </w:r>
            <w:r w:rsidRPr="00E40C24">
              <w:rPr>
                <w:i/>
                <w:sz w:val="20"/>
                <w:szCs w:val="16"/>
              </w:rPr>
              <w:t>Balancing short term need with long term planning for the future</w:t>
            </w:r>
            <w:r w:rsidR="00841AE6">
              <w:rPr>
                <w:i/>
                <w:sz w:val="20"/>
                <w:szCs w:val="16"/>
              </w:rPr>
              <w:t xml:space="preserve"> – </w:t>
            </w:r>
            <w:r w:rsidR="00841AE6" w:rsidRPr="00841AE6">
              <w:rPr>
                <w:sz w:val="20"/>
                <w:szCs w:val="16"/>
              </w:rPr>
              <w:t>covered by the strategy, planning and performance domain.</w:t>
            </w:r>
            <w:r w:rsidRPr="00841AE6">
              <w:rPr>
                <w:sz w:val="20"/>
                <w:szCs w:val="16"/>
              </w:rPr>
              <w:t xml:space="preserve"> </w:t>
            </w:r>
          </w:p>
          <w:p w14:paraId="524CEFFE" w14:textId="77777777" w:rsidR="00977C80" w:rsidRPr="00841AE6" w:rsidRDefault="00977C80" w:rsidP="003C65C6">
            <w:pPr>
              <w:jc w:val="both"/>
              <w:rPr>
                <w:sz w:val="20"/>
                <w:szCs w:val="16"/>
              </w:rPr>
            </w:pPr>
            <w:r w:rsidRPr="00E40C24">
              <w:rPr>
                <w:i/>
                <w:sz w:val="20"/>
                <w:szCs w:val="16"/>
              </w:rPr>
              <w:t>2.</w:t>
            </w:r>
            <w:r w:rsidR="00841AE6">
              <w:rPr>
                <w:i/>
                <w:sz w:val="20"/>
                <w:szCs w:val="16"/>
              </w:rPr>
              <w:t xml:space="preserve"> </w:t>
            </w:r>
            <w:r w:rsidRPr="00E40C24">
              <w:rPr>
                <w:i/>
                <w:sz w:val="20"/>
                <w:szCs w:val="16"/>
              </w:rPr>
              <w:t>Working together with othe</w:t>
            </w:r>
            <w:r w:rsidR="00841AE6">
              <w:rPr>
                <w:i/>
                <w:sz w:val="20"/>
                <w:szCs w:val="16"/>
              </w:rPr>
              <w:t xml:space="preserve">r partners to deliver objectives – </w:t>
            </w:r>
            <w:r w:rsidR="00841AE6">
              <w:rPr>
                <w:sz w:val="20"/>
                <w:szCs w:val="16"/>
              </w:rPr>
              <w:t>covered by the engagement work</w:t>
            </w:r>
          </w:p>
          <w:p w14:paraId="6C9FB5B1" w14:textId="77777777" w:rsidR="00977C80" w:rsidRPr="00841AE6" w:rsidRDefault="00977C80" w:rsidP="003C65C6">
            <w:pPr>
              <w:jc w:val="both"/>
              <w:rPr>
                <w:sz w:val="20"/>
                <w:szCs w:val="16"/>
              </w:rPr>
            </w:pPr>
            <w:r w:rsidRPr="00E40C24">
              <w:rPr>
                <w:i/>
                <w:sz w:val="20"/>
                <w:szCs w:val="16"/>
              </w:rPr>
              <w:t>3. Involving those with an interest and seeking their views</w:t>
            </w:r>
            <w:r w:rsidR="00841AE6">
              <w:rPr>
                <w:i/>
                <w:sz w:val="20"/>
                <w:szCs w:val="16"/>
              </w:rPr>
              <w:t xml:space="preserve"> – </w:t>
            </w:r>
            <w:r w:rsidR="00841AE6" w:rsidRPr="00841AE6">
              <w:rPr>
                <w:sz w:val="20"/>
                <w:szCs w:val="16"/>
              </w:rPr>
              <w:t>covered by the engagement work</w:t>
            </w:r>
            <w:r w:rsidRPr="00841AE6">
              <w:rPr>
                <w:sz w:val="20"/>
                <w:szCs w:val="16"/>
              </w:rPr>
              <w:t xml:space="preserve">; </w:t>
            </w:r>
          </w:p>
          <w:p w14:paraId="460A4003" w14:textId="77777777" w:rsidR="00841AE6" w:rsidRPr="00841AE6" w:rsidRDefault="00977C80" w:rsidP="003C65C6">
            <w:pPr>
              <w:jc w:val="both"/>
              <w:rPr>
                <w:sz w:val="20"/>
                <w:szCs w:val="16"/>
              </w:rPr>
            </w:pPr>
            <w:r w:rsidRPr="00E40C24">
              <w:rPr>
                <w:i/>
                <w:sz w:val="20"/>
                <w:szCs w:val="16"/>
              </w:rPr>
              <w:t>4.Putting resources into preventing problems occurring or getting worse</w:t>
            </w:r>
            <w:r w:rsidR="00841AE6">
              <w:rPr>
                <w:i/>
                <w:sz w:val="20"/>
                <w:szCs w:val="16"/>
              </w:rPr>
              <w:t xml:space="preserve"> – </w:t>
            </w:r>
            <w:r w:rsidR="00841AE6" w:rsidRPr="00841AE6">
              <w:rPr>
                <w:sz w:val="20"/>
                <w:szCs w:val="16"/>
              </w:rPr>
              <w:t>via WG funding allocation</w:t>
            </w:r>
            <w:r w:rsidRPr="00841AE6">
              <w:rPr>
                <w:sz w:val="20"/>
                <w:szCs w:val="16"/>
              </w:rPr>
              <w:t xml:space="preserve">; </w:t>
            </w:r>
          </w:p>
          <w:p w14:paraId="12467E8C" w14:textId="77777777" w:rsidR="00977C80" w:rsidRPr="00841AE6" w:rsidRDefault="00977C80" w:rsidP="003C65C6">
            <w:pPr>
              <w:jc w:val="both"/>
              <w:rPr>
                <w:sz w:val="20"/>
                <w:szCs w:val="16"/>
              </w:rPr>
            </w:pPr>
            <w:r w:rsidRPr="00E40C24">
              <w:rPr>
                <w:i/>
                <w:sz w:val="20"/>
                <w:szCs w:val="16"/>
              </w:rPr>
              <w:t>5.</w:t>
            </w:r>
            <w:r w:rsidR="00841AE6">
              <w:rPr>
                <w:i/>
                <w:sz w:val="20"/>
                <w:szCs w:val="16"/>
              </w:rPr>
              <w:t xml:space="preserve"> </w:t>
            </w:r>
            <w:r w:rsidRPr="00E40C24">
              <w:rPr>
                <w:i/>
                <w:sz w:val="20"/>
                <w:szCs w:val="16"/>
              </w:rPr>
              <w:t xml:space="preserve">Considering impact on all well-being goals together and on other bodies </w:t>
            </w:r>
            <w:r w:rsidR="00841AE6">
              <w:rPr>
                <w:i/>
                <w:sz w:val="20"/>
                <w:szCs w:val="16"/>
              </w:rPr>
              <w:t xml:space="preserve">– </w:t>
            </w:r>
            <w:r w:rsidR="00841AE6" w:rsidRPr="00841AE6">
              <w:rPr>
                <w:sz w:val="20"/>
                <w:szCs w:val="16"/>
              </w:rPr>
              <w:t>covered by engagement work.</w:t>
            </w:r>
          </w:p>
          <w:p w14:paraId="357170F7" w14:textId="77777777" w:rsidR="00977C80" w:rsidRPr="006D38C7" w:rsidRDefault="00977C80" w:rsidP="00841AE6">
            <w:pPr>
              <w:jc w:val="both"/>
            </w:pPr>
          </w:p>
        </w:tc>
      </w:tr>
      <w:tr w:rsidR="00977C80" w:rsidRPr="00573C9F" w14:paraId="033D074F" w14:textId="77777777" w:rsidTr="003C6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2"/>
          <w:jc w:val="center"/>
        </w:trPr>
        <w:tc>
          <w:tcPr>
            <w:tcW w:w="2444" w:type="dxa"/>
          </w:tcPr>
          <w:p w14:paraId="2695C552" w14:textId="77777777" w:rsidR="00977C80" w:rsidRDefault="00977C80" w:rsidP="006E457F">
            <w:pPr>
              <w:rPr>
                <w:b/>
              </w:rPr>
            </w:pPr>
            <w:r>
              <w:rPr>
                <w:b/>
              </w:rPr>
              <w:t xml:space="preserve">Planned business for the next meeting: </w:t>
            </w:r>
          </w:p>
        </w:tc>
        <w:tc>
          <w:tcPr>
            <w:tcW w:w="7377" w:type="dxa"/>
            <w:gridSpan w:val="2"/>
          </w:tcPr>
          <w:p w14:paraId="5ABF9827" w14:textId="18AA5EC4" w:rsidR="00A54B36" w:rsidRPr="00A54B36" w:rsidRDefault="008C1F5C" w:rsidP="00940CBE">
            <w:pPr>
              <w:pStyle w:val="ListParagraph"/>
              <w:numPr>
                <w:ilvl w:val="0"/>
                <w:numId w:val="1"/>
              </w:numPr>
              <w:jc w:val="both"/>
            </w:pPr>
            <w:r>
              <w:t>This</w:t>
            </w:r>
            <w:r w:rsidR="007C1A34">
              <w:t xml:space="preserve"> meeting will </w:t>
            </w:r>
            <w:r w:rsidR="00940CBE">
              <w:t xml:space="preserve">focus on the moderation of the proposed scores for the TI </w:t>
            </w:r>
            <w:proofErr w:type="spellStart"/>
            <w:r w:rsidR="00940CBE">
              <w:t>self assessment</w:t>
            </w:r>
            <w:proofErr w:type="spellEnd"/>
            <w:r w:rsidR="00940CBE">
              <w:t xml:space="preserve"> prior to the Board in November and the Link IMs will be invited to attend</w:t>
            </w:r>
            <w:r w:rsidR="007C1A34">
              <w:t>.</w:t>
            </w:r>
          </w:p>
        </w:tc>
      </w:tr>
      <w:tr w:rsidR="00977C80" w:rsidRPr="00573C9F" w14:paraId="7E63F3EC" w14:textId="77777777" w:rsidTr="003C6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2"/>
          <w:jc w:val="center"/>
        </w:trPr>
        <w:tc>
          <w:tcPr>
            <w:tcW w:w="2444" w:type="dxa"/>
          </w:tcPr>
          <w:p w14:paraId="574E0DD5" w14:textId="77777777" w:rsidR="00977C80" w:rsidRDefault="00977C80" w:rsidP="006E457F">
            <w:pPr>
              <w:rPr>
                <w:b/>
              </w:rPr>
            </w:pPr>
            <w:r>
              <w:rPr>
                <w:b/>
              </w:rPr>
              <w:t>Date of next meeting:</w:t>
            </w:r>
          </w:p>
        </w:tc>
        <w:tc>
          <w:tcPr>
            <w:tcW w:w="7377" w:type="dxa"/>
            <w:gridSpan w:val="2"/>
          </w:tcPr>
          <w:p w14:paraId="68757DB2" w14:textId="6CBE7386" w:rsidR="00977C80" w:rsidRPr="006D38C7" w:rsidRDefault="00940CBE" w:rsidP="00DB67DC">
            <w:pPr>
              <w:jc w:val="both"/>
            </w:pPr>
            <w:r>
              <w:t>24.10</w:t>
            </w:r>
            <w:r w:rsidR="008C1F5C">
              <w:t>.22</w:t>
            </w:r>
          </w:p>
        </w:tc>
      </w:tr>
    </w:tbl>
    <w:p w14:paraId="5B9191E7" w14:textId="77777777" w:rsidR="00977C80" w:rsidRDefault="00977C80" w:rsidP="00977C80">
      <w:pPr>
        <w:jc w:val="both"/>
        <w:rPr>
          <w:i/>
          <w:sz w:val="16"/>
          <w:szCs w:val="16"/>
        </w:rPr>
      </w:pPr>
    </w:p>
    <w:p w14:paraId="7A973DC8" w14:textId="77777777" w:rsidR="00977C80" w:rsidRDefault="00977C80" w:rsidP="00977C80">
      <w:pPr>
        <w:jc w:val="both"/>
        <w:rPr>
          <w:i/>
          <w:sz w:val="16"/>
          <w:szCs w:val="16"/>
        </w:rPr>
      </w:pPr>
    </w:p>
    <w:p w14:paraId="172A0CF5" w14:textId="77777777" w:rsidR="00977C80" w:rsidRDefault="00977C80" w:rsidP="00977C80">
      <w:pPr>
        <w:jc w:val="both"/>
        <w:rPr>
          <w:i/>
          <w:sz w:val="16"/>
          <w:szCs w:val="16"/>
        </w:rPr>
      </w:pPr>
    </w:p>
    <w:p w14:paraId="433FCAAD" w14:textId="77777777" w:rsidR="00396AC4" w:rsidRDefault="00396AC4" w:rsidP="00977C80">
      <w:pPr>
        <w:jc w:val="both"/>
        <w:rPr>
          <w:i/>
          <w:sz w:val="16"/>
          <w:szCs w:val="16"/>
        </w:rPr>
      </w:pPr>
    </w:p>
    <w:p w14:paraId="014F271E" w14:textId="77777777" w:rsidR="00396AC4" w:rsidRDefault="00396AC4" w:rsidP="00977C80">
      <w:pPr>
        <w:jc w:val="both"/>
        <w:rPr>
          <w:i/>
          <w:sz w:val="16"/>
          <w:szCs w:val="16"/>
        </w:rPr>
      </w:pPr>
    </w:p>
    <w:p w14:paraId="549C5C53" w14:textId="77777777" w:rsidR="00F87FF9" w:rsidRDefault="00F87FF9" w:rsidP="00F87FF9">
      <w:pPr>
        <w:tabs>
          <w:tab w:val="left" w:pos="4746"/>
        </w:tabs>
        <w:jc w:val="both"/>
        <w:rPr>
          <w:b/>
          <w:bCs/>
        </w:rPr>
      </w:pPr>
    </w:p>
    <w:p w14:paraId="0D8EBF5D" w14:textId="77777777" w:rsidR="00F87FF9" w:rsidRDefault="00F87FF9" w:rsidP="00F87FF9">
      <w:pPr>
        <w:tabs>
          <w:tab w:val="left" w:pos="4746"/>
        </w:tabs>
        <w:jc w:val="both"/>
        <w:rPr>
          <w:bCs/>
        </w:rPr>
      </w:pPr>
    </w:p>
    <w:p w14:paraId="384FFE3F" w14:textId="77777777" w:rsidR="00396AC4" w:rsidRDefault="00396AC4" w:rsidP="00977C80">
      <w:pPr>
        <w:jc w:val="both"/>
        <w:rPr>
          <w:i/>
          <w:sz w:val="16"/>
          <w:szCs w:val="16"/>
        </w:rPr>
      </w:pPr>
    </w:p>
    <w:p w14:paraId="6FD977D9" w14:textId="77777777" w:rsidR="00396AC4" w:rsidRDefault="00396AC4" w:rsidP="00977C80">
      <w:pPr>
        <w:jc w:val="both"/>
        <w:rPr>
          <w:i/>
          <w:sz w:val="16"/>
          <w:szCs w:val="16"/>
        </w:rPr>
      </w:pPr>
    </w:p>
    <w:p w14:paraId="04D7AC2F" w14:textId="77777777" w:rsidR="00396AC4" w:rsidRDefault="00396AC4" w:rsidP="00977C80">
      <w:pPr>
        <w:jc w:val="both"/>
        <w:rPr>
          <w:i/>
          <w:sz w:val="16"/>
          <w:szCs w:val="16"/>
        </w:rPr>
      </w:pPr>
    </w:p>
    <w:p w14:paraId="60F52D5C" w14:textId="77777777" w:rsidR="00396AC4" w:rsidRDefault="005C2B9A" w:rsidP="00977C80">
      <w:pPr>
        <w:jc w:val="both"/>
        <w:rPr>
          <w:i/>
          <w:sz w:val="16"/>
          <w:szCs w:val="16"/>
        </w:rPr>
      </w:pPr>
      <w:r>
        <w:rPr>
          <w:i/>
          <w:sz w:val="16"/>
          <w:szCs w:val="16"/>
        </w:rPr>
        <w:t>V</w:t>
      </w:r>
      <w:r w:rsidR="00520A71">
        <w:rPr>
          <w:i/>
          <w:sz w:val="16"/>
          <w:szCs w:val="16"/>
        </w:rPr>
        <w:t>1.</w:t>
      </w:r>
      <w:r>
        <w:rPr>
          <w:i/>
          <w:sz w:val="16"/>
          <w:szCs w:val="16"/>
        </w:rPr>
        <w:t>0</w:t>
      </w:r>
    </w:p>
    <w:sectPr w:rsidR="00396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E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352738"/>
    <w:multiLevelType w:val="hybridMultilevel"/>
    <w:tmpl w:val="9384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128E4"/>
    <w:multiLevelType w:val="hybridMultilevel"/>
    <w:tmpl w:val="CCFC5A6A"/>
    <w:lvl w:ilvl="0" w:tplc="665417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208DB"/>
    <w:multiLevelType w:val="hybridMultilevel"/>
    <w:tmpl w:val="CF92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F4FA9"/>
    <w:multiLevelType w:val="hybridMultilevel"/>
    <w:tmpl w:val="A1BC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64214"/>
    <w:multiLevelType w:val="hybridMultilevel"/>
    <w:tmpl w:val="12EC60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27A4"/>
    <w:multiLevelType w:val="multilevel"/>
    <w:tmpl w:val="025E18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C46F46"/>
    <w:multiLevelType w:val="hybridMultilevel"/>
    <w:tmpl w:val="1542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95DEE"/>
    <w:multiLevelType w:val="hybridMultilevel"/>
    <w:tmpl w:val="8FA2A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9D3C52"/>
    <w:multiLevelType w:val="hybridMultilevel"/>
    <w:tmpl w:val="03BC9C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347D6"/>
    <w:multiLevelType w:val="hybridMultilevel"/>
    <w:tmpl w:val="6106A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FC719A"/>
    <w:multiLevelType w:val="hybridMultilevel"/>
    <w:tmpl w:val="A3907C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4407231"/>
    <w:multiLevelType w:val="hybridMultilevel"/>
    <w:tmpl w:val="110A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70E5A"/>
    <w:multiLevelType w:val="hybridMultilevel"/>
    <w:tmpl w:val="1E88B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DE6512"/>
    <w:multiLevelType w:val="hybridMultilevel"/>
    <w:tmpl w:val="4646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8F25F4"/>
    <w:multiLevelType w:val="hybridMultilevel"/>
    <w:tmpl w:val="2CA41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D500A0"/>
    <w:multiLevelType w:val="hybridMultilevel"/>
    <w:tmpl w:val="2B187D60"/>
    <w:lvl w:ilvl="0" w:tplc="6C5ED4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3"/>
  </w:num>
  <w:num w:numId="5">
    <w:abstractNumId w:val="0"/>
  </w:num>
  <w:num w:numId="6">
    <w:abstractNumId w:val="6"/>
  </w:num>
  <w:num w:numId="7">
    <w:abstractNumId w:val="1"/>
  </w:num>
  <w:num w:numId="8">
    <w:abstractNumId w:val="13"/>
  </w:num>
  <w:num w:numId="9">
    <w:abstractNumId w:val="2"/>
  </w:num>
  <w:num w:numId="10">
    <w:abstractNumId w:val="7"/>
  </w:num>
  <w:num w:numId="11">
    <w:abstractNumId w:val="16"/>
  </w:num>
  <w:num w:numId="12">
    <w:abstractNumId w:val="14"/>
  </w:num>
  <w:num w:numId="13">
    <w:abstractNumId w:val="5"/>
  </w:num>
  <w:num w:numId="14">
    <w:abstractNumId w:val="9"/>
  </w:num>
  <w:num w:numId="15">
    <w:abstractNumId w:val="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80"/>
    <w:rsid w:val="00035CE2"/>
    <w:rsid w:val="000D3E93"/>
    <w:rsid w:val="000F54DE"/>
    <w:rsid w:val="00131B76"/>
    <w:rsid w:val="0017316E"/>
    <w:rsid w:val="00182AC8"/>
    <w:rsid w:val="001B20A6"/>
    <w:rsid w:val="00263135"/>
    <w:rsid w:val="002F0DF5"/>
    <w:rsid w:val="002F7547"/>
    <w:rsid w:val="0030780C"/>
    <w:rsid w:val="0034684C"/>
    <w:rsid w:val="00396AC4"/>
    <w:rsid w:val="003B66B7"/>
    <w:rsid w:val="00403C9B"/>
    <w:rsid w:val="00446164"/>
    <w:rsid w:val="004C4A05"/>
    <w:rsid w:val="00502F04"/>
    <w:rsid w:val="00520A71"/>
    <w:rsid w:val="00587070"/>
    <w:rsid w:val="005B6525"/>
    <w:rsid w:val="005C2B9A"/>
    <w:rsid w:val="00615FA1"/>
    <w:rsid w:val="00617406"/>
    <w:rsid w:val="00625526"/>
    <w:rsid w:val="00653779"/>
    <w:rsid w:val="006E457F"/>
    <w:rsid w:val="00731453"/>
    <w:rsid w:val="00762566"/>
    <w:rsid w:val="00771F62"/>
    <w:rsid w:val="00797FF2"/>
    <w:rsid w:val="007C0A5F"/>
    <w:rsid w:val="007C1A34"/>
    <w:rsid w:val="00805F46"/>
    <w:rsid w:val="00841AE6"/>
    <w:rsid w:val="00866C06"/>
    <w:rsid w:val="008851F3"/>
    <w:rsid w:val="008C1F5C"/>
    <w:rsid w:val="0090238B"/>
    <w:rsid w:val="00902486"/>
    <w:rsid w:val="0091724C"/>
    <w:rsid w:val="00940CBE"/>
    <w:rsid w:val="00946B7D"/>
    <w:rsid w:val="00977C80"/>
    <w:rsid w:val="0099164C"/>
    <w:rsid w:val="009C1A50"/>
    <w:rsid w:val="009D48CE"/>
    <w:rsid w:val="00A13B77"/>
    <w:rsid w:val="00A54B36"/>
    <w:rsid w:val="00A93922"/>
    <w:rsid w:val="00AB3992"/>
    <w:rsid w:val="00B14CA1"/>
    <w:rsid w:val="00B23689"/>
    <w:rsid w:val="00B53B46"/>
    <w:rsid w:val="00B54973"/>
    <w:rsid w:val="00B8740F"/>
    <w:rsid w:val="00BB094E"/>
    <w:rsid w:val="00C036D6"/>
    <w:rsid w:val="00C234D9"/>
    <w:rsid w:val="00C81FD2"/>
    <w:rsid w:val="00DB67DC"/>
    <w:rsid w:val="00DC20E0"/>
    <w:rsid w:val="00DC4A0E"/>
    <w:rsid w:val="00DD7770"/>
    <w:rsid w:val="00EC62F6"/>
    <w:rsid w:val="00F17C35"/>
    <w:rsid w:val="00F56CD7"/>
    <w:rsid w:val="00F87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9B82"/>
  <w15:chartTrackingRefBased/>
  <w15:docId w15:val="{14ED7768-9B9B-4566-A12B-75A64208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C80"/>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C80"/>
    <w:rPr>
      <w:rFonts w:ascii="Segoe UI" w:eastAsia="Times New Roman" w:hAnsi="Segoe UI" w:cs="Segoe UI"/>
      <w:sz w:val="18"/>
      <w:szCs w:val="18"/>
      <w:lang w:eastAsia="en-GB"/>
    </w:rPr>
  </w:style>
  <w:style w:type="paragraph" w:styleId="ListParagraph">
    <w:name w:val="List Paragraph"/>
    <w:basedOn w:val="Normal"/>
    <w:link w:val="ListParagraphChar"/>
    <w:uiPriority w:val="34"/>
    <w:qFormat/>
    <w:rsid w:val="00A93922"/>
    <w:pPr>
      <w:ind w:left="720"/>
      <w:contextualSpacing/>
    </w:pPr>
  </w:style>
  <w:style w:type="paragraph" w:styleId="Subtitle">
    <w:name w:val="Subtitle"/>
    <w:basedOn w:val="Normal"/>
    <w:next w:val="Normal"/>
    <w:link w:val="SubtitleChar"/>
    <w:qFormat/>
    <w:rsid w:val="00396AC4"/>
    <w:pPr>
      <w:spacing w:after="240"/>
    </w:pPr>
    <w:rPr>
      <w:rFonts w:cs="Times New Roman"/>
      <w:b/>
      <w:bCs/>
      <w:u w:val="single"/>
      <w:lang w:val="en-US" w:eastAsia="en-US"/>
    </w:rPr>
  </w:style>
  <w:style w:type="character" w:customStyle="1" w:styleId="SubtitleChar">
    <w:name w:val="Subtitle Char"/>
    <w:basedOn w:val="DefaultParagraphFont"/>
    <w:link w:val="Subtitle"/>
    <w:rsid w:val="00396AC4"/>
    <w:rPr>
      <w:rFonts w:ascii="Arial" w:eastAsia="Times New Roman" w:hAnsi="Arial" w:cs="Times New Roman"/>
      <w:b/>
      <w:bCs/>
      <w:sz w:val="24"/>
      <w:szCs w:val="24"/>
      <w:u w:val="single"/>
      <w:lang w:val="en-US"/>
    </w:rPr>
  </w:style>
  <w:style w:type="character" w:customStyle="1" w:styleId="ListParagraphChar">
    <w:name w:val="List Paragraph Char"/>
    <w:link w:val="ListParagraph"/>
    <w:uiPriority w:val="34"/>
    <w:locked/>
    <w:rsid w:val="009C1A50"/>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4E4B3D3E175E46853B43E520510D4E" ma:contentTypeVersion="13" ma:contentTypeDescription="Create a new document." ma:contentTypeScope="" ma:versionID="b9a4cc83128f5673a6909b0dc4b61471">
  <xsd:schema xmlns:xsd="http://www.w3.org/2001/XMLSchema" xmlns:xs="http://www.w3.org/2001/XMLSchema" xmlns:p="http://schemas.microsoft.com/office/2006/metadata/properties" xmlns:ns3="288d3c24-5c4d-4e0f-9895-27ecb3db4141" xmlns:ns4="3dfee584-46cf-40cf-bc93-b118f5137d0c" targetNamespace="http://schemas.microsoft.com/office/2006/metadata/properties" ma:root="true" ma:fieldsID="d71bf0fd98df65b5012c9842248faec0" ns3:_="" ns4:_="">
    <xsd:import namespace="288d3c24-5c4d-4e0f-9895-27ecb3db4141"/>
    <xsd:import namespace="3dfee584-46cf-40cf-bc93-b118f5137d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d3c24-5c4d-4e0f-9895-27ecb3db41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ee584-46cf-40cf-bc93-b118f5137d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5F33A-0EFB-449B-8286-8F2668520287}">
  <ds:schemaRefs>
    <ds:schemaRef ds:uri="http://purl.org/dc/terms/"/>
    <ds:schemaRef ds:uri="http://schemas.openxmlformats.org/package/2006/metadata/core-properties"/>
    <ds:schemaRef ds:uri="3dfee584-46cf-40cf-bc93-b118f5137d0c"/>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88d3c24-5c4d-4e0f-9895-27ecb3db4141"/>
    <ds:schemaRef ds:uri="http://www.w3.org/XML/1998/namespace"/>
  </ds:schemaRefs>
</ds:datastoreItem>
</file>

<file path=customXml/itemProps2.xml><?xml version="1.0" encoding="utf-8"?>
<ds:datastoreItem xmlns:ds="http://schemas.openxmlformats.org/officeDocument/2006/customXml" ds:itemID="{0FB9FC7B-572A-4280-A0A1-9B8FD371B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d3c24-5c4d-4e0f-9895-27ecb3db4141"/>
    <ds:schemaRef ds:uri="3dfee584-46cf-40cf-bc93-b118f5137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B4D85-C8D1-4D6A-93C3-48224EFB4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Dunn (BCUHB - Office of the Board Secretary)</dc:creator>
  <cp:keywords/>
  <dc:description/>
  <cp:lastModifiedBy>Laura Jones (BCUHB - Corporate Office)</cp:lastModifiedBy>
  <cp:revision>2</cp:revision>
  <cp:lastPrinted>2022-07-07T09:18:00Z</cp:lastPrinted>
  <dcterms:created xsi:type="dcterms:W3CDTF">2022-11-08T09:07:00Z</dcterms:created>
  <dcterms:modified xsi:type="dcterms:W3CDTF">2022-11-08T09:07:00Z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0x010100BC4E4B3D3E175E46853B43E520510D4E</vt:lpwstr>
  </property>
</Properties>
</file>