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87208" w14:textId="03CE6447" w:rsidR="000A2873" w:rsidRDefault="005011E3" w:rsidP="007E03D4">
      <w:pPr>
        <w:shd w:val="clear" w:color="auto" w:fill="E0E0E0"/>
        <w:ind w:lef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A2873" w:rsidRPr="007E03D4">
        <w:rPr>
          <w:rFonts w:ascii="Arial" w:hAnsi="Arial" w:cs="Arial"/>
          <w:b/>
        </w:rPr>
        <w:t>Betsi Cadwaladr University Health Board</w:t>
      </w:r>
    </w:p>
    <w:p w14:paraId="54D72FB7" w14:textId="77777777" w:rsidR="007E03D4" w:rsidRPr="007E03D4" w:rsidRDefault="007E03D4" w:rsidP="007E03D4">
      <w:pPr>
        <w:shd w:val="clear" w:color="auto" w:fill="E0E0E0"/>
        <w:ind w:left="-540"/>
        <w:jc w:val="center"/>
        <w:rPr>
          <w:rFonts w:ascii="Arial" w:hAnsi="Arial" w:cs="Arial"/>
          <w:b/>
        </w:rPr>
      </w:pPr>
    </w:p>
    <w:p w14:paraId="5C0B589F" w14:textId="77777777" w:rsidR="000A2873" w:rsidRPr="007E03D4" w:rsidRDefault="000A2873" w:rsidP="007E03D4">
      <w:pPr>
        <w:shd w:val="clear" w:color="auto" w:fill="E0E0E0"/>
        <w:ind w:left="-540"/>
        <w:jc w:val="center"/>
        <w:rPr>
          <w:rFonts w:ascii="Arial" w:hAnsi="Arial" w:cs="Arial"/>
          <w:b/>
        </w:rPr>
      </w:pPr>
      <w:r w:rsidRPr="007E03D4">
        <w:rPr>
          <w:rFonts w:ascii="Arial" w:hAnsi="Arial" w:cs="Arial"/>
          <w:b/>
        </w:rPr>
        <w:t>Terms of Reference and Operating Arrangements</w:t>
      </w:r>
    </w:p>
    <w:p w14:paraId="3A53C30C" w14:textId="77777777" w:rsidR="000A2873" w:rsidRPr="007E03D4" w:rsidRDefault="000A2873" w:rsidP="007E03D4">
      <w:pPr>
        <w:jc w:val="center"/>
        <w:rPr>
          <w:rFonts w:ascii="Arial" w:hAnsi="Arial" w:cs="Arial"/>
        </w:rPr>
      </w:pPr>
    </w:p>
    <w:p w14:paraId="3A6E83CB" w14:textId="30CB4009" w:rsidR="000A2873" w:rsidRPr="007E03D4" w:rsidRDefault="00910A82" w:rsidP="007E03D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TIIF Steering Group</w:t>
      </w:r>
    </w:p>
    <w:p w14:paraId="3CC2D3D2" w14:textId="77777777" w:rsidR="000A2873" w:rsidRPr="007E03D4" w:rsidRDefault="000A2873" w:rsidP="007E03D4">
      <w:pPr>
        <w:rPr>
          <w:rFonts w:ascii="Arial" w:hAnsi="Arial" w:cs="Arial"/>
          <w:b/>
          <w:color w:val="000000"/>
        </w:rPr>
      </w:pPr>
    </w:p>
    <w:p w14:paraId="1944E74C" w14:textId="3D174052" w:rsidR="000A2873" w:rsidRPr="007E03D4" w:rsidRDefault="000A2873" w:rsidP="007E03D4">
      <w:pPr>
        <w:pStyle w:val="Subtitle"/>
        <w:numPr>
          <w:ilvl w:val="0"/>
          <w:numId w:val="1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rFonts w:cs="Arial"/>
          <w:u w:val="none"/>
        </w:rPr>
      </w:pPr>
      <w:r w:rsidRPr="007E03D4">
        <w:rPr>
          <w:rFonts w:cs="Arial"/>
          <w:u w:val="none"/>
        </w:rPr>
        <w:t>INTRODUCTION</w:t>
      </w:r>
    </w:p>
    <w:p w14:paraId="181212CF" w14:textId="3F768902" w:rsidR="000A2873" w:rsidRPr="007E03D4" w:rsidRDefault="000A2873" w:rsidP="007E03D4">
      <w:pPr>
        <w:pStyle w:val="ListParagraph"/>
        <w:numPr>
          <w:ilvl w:val="1"/>
          <w:numId w:val="12"/>
        </w:numPr>
        <w:rPr>
          <w:rFonts w:cs="Arial"/>
          <w:szCs w:val="24"/>
        </w:rPr>
      </w:pPr>
      <w:r w:rsidRPr="007E03D4">
        <w:rPr>
          <w:rFonts w:cs="Arial"/>
          <w:szCs w:val="24"/>
        </w:rPr>
        <w:t xml:space="preserve">The Board shall establish a </w:t>
      </w:r>
      <w:r w:rsidR="00D11914">
        <w:rPr>
          <w:rFonts w:cs="Arial"/>
          <w:szCs w:val="24"/>
        </w:rPr>
        <w:t xml:space="preserve">short life </w:t>
      </w:r>
      <w:r w:rsidR="00973BBD" w:rsidRPr="007E03D4">
        <w:rPr>
          <w:rFonts w:cs="Arial"/>
          <w:szCs w:val="24"/>
        </w:rPr>
        <w:t xml:space="preserve">group and associated </w:t>
      </w:r>
      <w:r w:rsidR="00175FA6" w:rsidRPr="007E03D4">
        <w:rPr>
          <w:rFonts w:cs="Arial"/>
          <w:szCs w:val="24"/>
        </w:rPr>
        <w:t xml:space="preserve">governance </w:t>
      </w:r>
      <w:r w:rsidR="00973BBD" w:rsidRPr="007E03D4">
        <w:rPr>
          <w:rFonts w:cs="Arial"/>
          <w:szCs w:val="24"/>
        </w:rPr>
        <w:t>arrangements,</w:t>
      </w:r>
      <w:r w:rsidRPr="007E03D4">
        <w:rPr>
          <w:rFonts w:cs="Arial"/>
          <w:szCs w:val="24"/>
        </w:rPr>
        <w:t xml:space="preserve"> to be known as the </w:t>
      </w:r>
      <w:r w:rsidR="00910A82">
        <w:rPr>
          <w:rFonts w:cs="Arial"/>
          <w:b/>
          <w:szCs w:val="24"/>
        </w:rPr>
        <w:t>Targeted Intervention Steering Group (TIIF Steering Group)</w:t>
      </w:r>
      <w:r w:rsidR="00D11914">
        <w:rPr>
          <w:rFonts w:cs="Arial"/>
          <w:b/>
          <w:szCs w:val="24"/>
        </w:rPr>
        <w:t xml:space="preserve"> </w:t>
      </w:r>
      <w:r w:rsidR="00D11914" w:rsidRPr="00D11914">
        <w:rPr>
          <w:rFonts w:cs="Arial"/>
          <w:szCs w:val="24"/>
        </w:rPr>
        <w:t xml:space="preserve">to exist </w:t>
      </w:r>
      <w:r w:rsidR="00D11914">
        <w:rPr>
          <w:rFonts w:cs="Arial"/>
          <w:szCs w:val="24"/>
        </w:rPr>
        <w:t xml:space="preserve">only </w:t>
      </w:r>
      <w:r w:rsidR="00D11914" w:rsidRPr="00D11914">
        <w:rPr>
          <w:rFonts w:cs="Arial"/>
          <w:szCs w:val="24"/>
        </w:rPr>
        <w:t>while the Health Board is within the Targeted Intervention Improvement Framework</w:t>
      </w:r>
      <w:r w:rsidR="00D11914">
        <w:rPr>
          <w:rFonts w:cs="Arial"/>
          <w:szCs w:val="24"/>
        </w:rPr>
        <w:t xml:space="preserve"> as agreed with Welsh Government</w:t>
      </w:r>
      <w:r w:rsidRPr="00D11914">
        <w:rPr>
          <w:rFonts w:cs="Arial"/>
          <w:szCs w:val="24"/>
        </w:rPr>
        <w:t xml:space="preserve">.  </w:t>
      </w:r>
      <w:r w:rsidRPr="007E03D4">
        <w:rPr>
          <w:rFonts w:cs="Arial"/>
          <w:szCs w:val="24"/>
        </w:rPr>
        <w:t xml:space="preserve">The detailed terms of reference and operating </w:t>
      </w:r>
      <w:r w:rsidR="00973BBD" w:rsidRPr="007E03D4">
        <w:rPr>
          <w:rFonts w:cs="Arial"/>
          <w:szCs w:val="24"/>
        </w:rPr>
        <w:t>arrangements in respect of th</w:t>
      </w:r>
      <w:r w:rsidRPr="007E03D4">
        <w:rPr>
          <w:rFonts w:cs="Arial"/>
          <w:szCs w:val="24"/>
        </w:rPr>
        <w:t>e</w:t>
      </w:r>
      <w:r w:rsidR="00973BBD" w:rsidRPr="007E03D4">
        <w:rPr>
          <w:rFonts w:cs="Arial"/>
          <w:szCs w:val="24"/>
        </w:rPr>
        <w:t>se meetings</w:t>
      </w:r>
      <w:r w:rsidRPr="007E03D4">
        <w:rPr>
          <w:rFonts w:cs="Arial"/>
          <w:szCs w:val="24"/>
        </w:rPr>
        <w:t xml:space="preserve"> are set out below. </w:t>
      </w:r>
    </w:p>
    <w:p w14:paraId="24F7BFD2" w14:textId="5BC31E26" w:rsidR="000A2873" w:rsidRPr="00EB5213" w:rsidRDefault="000A2873" w:rsidP="00EB5213">
      <w:pPr>
        <w:pStyle w:val="Subtitle"/>
        <w:numPr>
          <w:ilvl w:val="0"/>
          <w:numId w:val="1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rFonts w:cs="Arial"/>
          <w:u w:val="none"/>
        </w:rPr>
      </w:pPr>
      <w:r w:rsidRPr="00EB5213">
        <w:rPr>
          <w:rFonts w:cs="Arial"/>
          <w:u w:val="none"/>
        </w:rPr>
        <w:t>PURPOSE</w:t>
      </w:r>
    </w:p>
    <w:p w14:paraId="7E8EF3C0" w14:textId="73B28F73" w:rsidR="00910A82" w:rsidRPr="00910A82" w:rsidRDefault="00875EE5" w:rsidP="00C1618F">
      <w:pPr>
        <w:pStyle w:val="ListParagraph"/>
        <w:numPr>
          <w:ilvl w:val="1"/>
          <w:numId w:val="12"/>
        </w:numPr>
        <w:rPr>
          <w:rFonts w:cs="Arial"/>
          <w:lang w:val="en-GB"/>
        </w:rPr>
      </w:pPr>
      <w:r w:rsidRPr="00910A82">
        <w:rPr>
          <w:rFonts w:cs="Arial"/>
          <w:szCs w:val="24"/>
        </w:rPr>
        <w:t xml:space="preserve">The </w:t>
      </w:r>
      <w:r w:rsidR="00910A82" w:rsidRPr="00910A82">
        <w:rPr>
          <w:rFonts w:cs="Arial"/>
          <w:szCs w:val="24"/>
        </w:rPr>
        <w:t xml:space="preserve">purpose of the TIIF Steering Group is to </w:t>
      </w:r>
      <w:r w:rsidR="00910A82" w:rsidRPr="00910A82">
        <w:rPr>
          <w:rFonts w:cs="Arial"/>
          <w:lang w:val="en-GB"/>
        </w:rPr>
        <w:t xml:space="preserve">advise and assure the Board on the effectiveness of the arrangements in place to respond to the </w:t>
      </w:r>
      <w:r w:rsidR="00910A82">
        <w:rPr>
          <w:rFonts w:cs="Arial"/>
          <w:lang w:val="en-GB"/>
        </w:rPr>
        <w:t xml:space="preserve">Targeted Intervention Improvement Framework set by Welsh Government.  The Group shall be responsible for </w:t>
      </w:r>
      <w:r w:rsidR="00106B2E">
        <w:rPr>
          <w:rFonts w:cs="Arial"/>
          <w:lang w:val="en-GB"/>
        </w:rPr>
        <w:t xml:space="preserve">gathering, assessing, assuring, and </w:t>
      </w:r>
      <w:r w:rsidR="00910A82">
        <w:rPr>
          <w:rFonts w:cs="Arial"/>
          <w:lang w:val="en-GB"/>
        </w:rPr>
        <w:t xml:space="preserve">providing the Board with evidence of impact of the improvement actions taken and to make </w:t>
      </w:r>
      <w:r w:rsidR="004A6EFA">
        <w:rPr>
          <w:rFonts w:cs="Arial"/>
          <w:lang w:val="en-GB"/>
        </w:rPr>
        <w:t>r</w:t>
      </w:r>
      <w:r w:rsidR="00910A82">
        <w:rPr>
          <w:rFonts w:cs="Arial"/>
          <w:lang w:val="en-GB"/>
        </w:rPr>
        <w:t xml:space="preserve">ecommendations to the Board in relation to the self-assessment. </w:t>
      </w:r>
    </w:p>
    <w:p w14:paraId="79BAA671" w14:textId="284B7881" w:rsidR="000A2873" w:rsidRPr="00EB5213" w:rsidRDefault="000A2873" w:rsidP="00EB5213">
      <w:pPr>
        <w:pStyle w:val="Subtitle"/>
        <w:numPr>
          <w:ilvl w:val="0"/>
          <w:numId w:val="1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rFonts w:cs="Arial"/>
          <w:u w:val="none"/>
        </w:rPr>
      </w:pPr>
      <w:r w:rsidRPr="00EB5213">
        <w:rPr>
          <w:rFonts w:cs="Arial"/>
          <w:u w:val="none"/>
        </w:rPr>
        <w:t>DELEGATED POWERS</w:t>
      </w:r>
    </w:p>
    <w:p w14:paraId="1FCFE0D8" w14:textId="107F8620" w:rsidR="00E50ABE" w:rsidRPr="00EB5213" w:rsidRDefault="000A2873" w:rsidP="00EB5213">
      <w:pPr>
        <w:pStyle w:val="ListParagraph"/>
        <w:numPr>
          <w:ilvl w:val="1"/>
          <w:numId w:val="12"/>
        </w:numPr>
        <w:rPr>
          <w:rFonts w:cs="Arial"/>
          <w:szCs w:val="24"/>
        </w:rPr>
      </w:pPr>
      <w:r w:rsidRPr="00EB5213">
        <w:rPr>
          <w:rFonts w:cs="Arial"/>
          <w:szCs w:val="24"/>
        </w:rPr>
        <w:t xml:space="preserve">The </w:t>
      </w:r>
      <w:r w:rsidR="00512E0C" w:rsidRPr="003B4237">
        <w:rPr>
          <w:rFonts w:cs="Arial"/>
          <w:szCs w:val="24"/>
        </w:rPr>
        <w:t>TIIF Steering Group</w:t>
      </w:r>
      <w:r w:rsidR="008B3E8C" w:rsidRPr="00EB5213">
        <w:rPr>
          <w:rFonts w:cs="Arial"/>
          <w:szCs w:val="24"/>
        </w:rPr>
        <w:t xml:space="preserve"> </w:t>
      </w:r>
      <w:r w:rsidRPr="00EB5213">
        <w:rPr>
          <w:rFonts w:cs="Arial"/>
          <w:szCs w:val="24"/>
        </w:rPr>
        <w:t xml:space="preserve">is </w:t>
      </w:r>
      <w:r w:rsidR="009127B6" w:rsidRPr="00EB5213">
        <w:rPr>
          <w:rFonts w:cs="Arial"/>
          <w:szCs w:val="24"/>
        </w:rPr>
        <w:t>authori</w:t>
      </w:r>
      <w:r w:rsidR="00910A82">
        <w:rPr>
          <w:rFonts w:cs="Arial"/>
          <w:szCs w:val="24"/>
        </w:rPr>
        <w:t>s</w:t>
      </w:r>
      <w:r w:rsidR="009127B6" w:rsidRPr="00EB5213">
        <w:rPr>
          <w:rFonts w:cs="Arial"/>
          <w:szCs w:val="24"/>
        </w:rPr>
        <w:t>ed</w:t>
      </w:r>
      <w:r w:rsidRPr="00EB5213">
        <w:rPr>
          <w:rFonts w:cs="Arial"/>
          <w:szCs w:val="24"/>
        </w:rPr>
        <w:t xml:space="preserve"> by the Board to</w:t>
      </w:r>
      <w:r w:rsidR="006D4A3B" w:rsidRPr="00EB5213">
        <w:rPr>
          <w:rFonts w:cs="Arial"/>
          <w:szCs w:val="24"/>
        </w:rPr>
        <w:t>:</w:t>
      </w:r>
      <w:r w:rsidR="00486103" w:rsidRPr="00EB5213">
        <w:rPr>
          <w:rFonts w:cs="Arial"/>
          <w:szCs w:val="24"/>
        </w:rPr>
        <w:t xml:space="preserve">  </w:t>
      </w:r>
    </w:p>
    <w:p w14:paraId="7D14FB84" w14:textId="67AF5CAB" w:rsidR="00910A82" w:rsidRDefault="006D4A3B" w:rsidP="00EB5213">
      <w:pPr>
        <w:pStyle w:val="ListParagraph"/>
        <w:numPr>
          <w:ilvl w:val="2"/>
          <w:numId w:val="12"/>
        </w:numPr>
        <w:ind w:left="1418" w:hanging="698"/>
        <w:rPr>
          <w:rFonts w:cs="Arial"/>
          <w:szCs w:val="24"/>
        </w:rPr>
      </w:pPr>
      <w:r w:rsidRPr="007E03D4">
        <w:rPr>
          <w:rFonts w:cs="Arial"/>
          <w:szCs w:val="24"/>
        </w:rPr>
        <w:t>E</w:t>
      </w:r>
      <w:r w:rsidR="000A2873" w:rsidRPr="007E03D4">
        <w:rPr>
          <w:rFonts w:cs="Arial"/>
          <w:szCs w:val="24"/>
        </w:rPr>
        <w:t xml:space="preserve">nsure that </w:t>
      </w:r>
      <w:r w:rsidR="008B3E8C" w:rsidRPr="007E03D4">
        <w:rPr>
          <w:rFonts w:cs="Arial"/>
          <w:szCs w:val="24"/>
        </w:rPr>
        <w:t xml:space="preserve">the Health Board has </w:t>
      </w:r>
      <w:r w:rsidR="00910A82">
        <w:rPr>
          <w:rFonts w:cs="Arial"/>
          <w:szCs w:val="24"/>
        </w:rPr>
        <w:t>a</w:t>
      </w:r>
      <w:r w:rsidR="00512E0C">
        <w:rPr>
          <w:rFonts w:cs="Arial"/>
          <w:szCs w:val="24"/>
        </w:rPr>
        <w:t xml:space="preserve"> coordinated and effective</w:t>
      </w:r>
      <w:r w:rsidR="00910A82">
        <w:rPr>
          <w:rFonts w:cs="Arial"/>
          <w:szCs w:val="24"/>
        </w:rPr>
        <w:t xml:space="preserve"> approach to the TIIF;</w:t>
      </w:r>
    </w:p>
    <w:p w14:paraId="06591801" w14:textId="0222BE81" w:rsidR="000A2873" w:rsidRPr="007E03D4" w:rsidRDefault="002F057F" w:rsidP="00EB5213">
      <w:pPr>
        <w:pStyle w:val="ListParagraph"/>
        <w:numPr>
          <w:ilvl w:val="2"/>
          <w:numId w:val="12"/>
        </w:numPr>
        <w:ind w:left="1418" w:hanging="698"/>
        <w:rPr>
          <w:rFonts w:cs="Arial"/>
          <w:szCs w:val="24"/>
        </w:rPr>
      </w:pPr>
      <w:r w:rsidRPr="007E03D4">
        <w:rPr>
          <w:rFonts w:cs="Arial"/>
          <w:szCs w:val="24"/>
        </w:rPr>
        <w:t>E</w:t>
      </w:r>
      <w:r w:rsidR="006D4A3B" w:rsidRPr="007E03D4">
        <w:rPr>
          <w:rFonts w:cs="Arial"/>
          <w:szCs w:val="24"/>
        </w:rPr>
        <w:t xml:space="preserve">nsure </w:t>
      </w:r>
      <w:r w:rsidR="000A2873" w:rsidRPr="007E03D4">
        <w:rPr>
          <w:rFonts w:cs="Arial"/>
          <w:szCs w:val="24"/>
        </w:rPr>
        <w:t xml:space="preserve">the adequacy of </w:t>
      </w:r>
      <w:r w:rsidR="00A97D84" w:rsidRPr="007E03D4">
        <w:rPr>
          <w:rFonts w:cs="Arial"/>
          <w:szCs w:val="24"/>
        </w:rPr>
        <w:t xml:space="preserve">key arrangements fundamental to assurance, </w:t>
      </w:r>
      <w:r w:rsidR="005B4E3D" w:rsidRPr="007E03D4">
        <w:rPr>
          <w:rFonts w:cs="Arial"/>
          <w:szCs w:val="24"/>
        </w:rPr>
        <w:t xml:space="preserve">including </w:t>
      </w:r>
      <w:r w:rsidR="00175FA6" w:rsidRPr="007E03D4">
        <w:rPr>
          <w:rFonts w:cs="Arial"/>
          <w:szCs w:val="24"/>
        </w:rPr>
        <w:t>report</w:t>
      </w:r>
      <w:r w:rsidR="00385519" w:rsidRPr="007E03D4">
        <w:rPr>
          <w:rFonts w:cs="Arial"/>
          <w:szCs w:val="24"/>
        </w:rPr>
        <w:t>ing</w:t>
      </w:r>
      <w:r w:rsidR="00175FA6" w:rsidRPr="007E03D4">
        <w:rPr>
          <w:rFonts w:cs="Arial"/>
          <w:szCs w:val="24"/>
        </w:rPr>
        <w:t xml:space="preserve">, </w:t>
      </w:r>
      <w:r w:rsidR="00370BDB" w:rsidRPr="007E03D4">
        <w:rPr>
          <w:rFonts w:cs="Arial"/>
          <w:szCs w:val="24"/>
        </w:rPr>
        <w:t>decision</w:t>
      </w:r>
      <w:r w:rsidR="00385519" w:rsidRPr="007E03D4">
        <w:rPr>
          <w:rFonts w:cs="Arial"/>
          <w:szCs w:val="24"/>
        </w:rPr>
        <w:t>-</w:t>
      </w:r>
      <w:r w:rsidRPr="007E03D4">
        <w:rPr>
          <w:rFonts w:cs="Arial"/>
          <w:szCs w:val="24"/>
        </w:rPr>
        <w:t>making, and</w:t>
      </w:r>
      <w:r w:rsidR="00385519" w:rsidRPr="007E03D4">
        <w:rPr>
          <w:rFonts w:cs="Arial"/>
          <w:szCs w:val="24"/>
        </w:rPr>
        <w:t xml:space="preserve"> </w:t>
      </w:r>
      <w:r w:rsidR="005B4E3D" w:rsidRPr="007E03D4">
        <w:rPr>
          <w:rFonts w:cs="Arial"/>
          <w:szCs w:val="24"/>
        </w:rPr>
        <w:t>risk</w:t>
      </w:r>
      <w:r w:rsidR="00370BDB" w:rsidRPr="007E03D4">
        <w:rPr>
          <w:rFonts w:cs="Arial"/>
          <w:szCs w:val="24"/>
        </w:rPr>
        <w:t xml:space="preserve"> registers</w:t>
      </w:r>
      <w:r w:rsidR="006D4A3B" w:rsidRPr="007E03D4">
        <w:rPr>
          <w:rFonts w:cs="Arial"/>
          <w:szCs w:val="24"/>
        </w:rPr>
        <w:t>;</w:t>
      </w:r>
    </w:p>
    <w:p w14:paraId="261B7949" w14:textId="13DC5EE3" w:rsidR="000A2873" w:rsidRPr="007E03D4" w:rsidRDefault="002F057F" w:rsidP="00EB5213">
      <w:pPr>
        <w:pStyle w:val="ListParagraph"/>
        <w:numPr>
          <w:ilvl w:val="2"/>
          <w:numId w:val="12"/>
        </w:numPr>
        <w:ind w:left="1418" w:hanging="698"/>
        <w:rPr>
          <w:rFonts w:cs="Arial"/>
          <w:szCs w:val="24"/>
        </w:rPr>
      </w:pPr>
      <w:r w:rsidRPr="007E03D4">
        <w:rPr>
          <w:rFonts w:cs="Arial"/>
          <w:szCs w:val="24"/>
        </w:rPr>
        <w:t>S</w:t>
      </w:r>
      <w:r w:rsidR="008818CB" w:rsidRPr="007E03D4">
        <w:rPr>
          <w:rFonts w:cs="Arial"/>
          <w:szCs w:val="24"/>
        </w:rPr>
        <w:t>eek assurance that lessons are being learnt and that</w:t>
      </w:r>
      <w:r w:rsidR="006D4A3B" w:rsidRPr="007E03D4">
        <w:rPr>
          <w:rFonts w:cs="Arial"/>
          <w:szCs w:val="24"/>
        </w:rPr>
        <w:t>, if appropriate</w:t>
      </w:r>
      <w:r w:rsidRPr="007E03D4">
        <w:rPr>
          <w:rFonts w:cs="Arial"/>
          <w:szCs w:val="24"/>
        </w:rPr>
        <w:t>, learning</w:t>
      </w:r>
      <w:r w:rsidR="008818CB" w:rsidRPr="007E03D4">
        <w:rPr>
          <w:rFonts w:cs="Arial"/>
          <w:szCs w:val="24"/>
        </w:rPr>
        <w:t xml:space="preserve"> is being applied throughout the </w:t>
      </w:r>
      <w:r w:rsidR="00910A82">
        <w:rPr>
          <w:rFonts w:cs="Arial"/>
          <w:szCs w:val="24"/>
        </w:rPr>
        <w:t>Health Board</w:t>
      </w:r>
      <w:r w:rsidRPr="007E03D4">
        <w:rPr>
          <w:rFonts w:cs="Arial"/>
          <w:szCs w:val="24"/>
        </w:rPr>
        <w:t>;</w:t>
      </w:r>
    </w:p>
    <w:p w14:paraId="1C7A6D7D" w14:textId="379BAAC5" w:rsidR="001361E7" w:rsidRPr="007E03D4" w:rsidRDefault="002F057F" w:rsidP="00EB5213">
      <w:pPr>
        <w:pStyle w:val="ListParagraph"/>
        <w:numPr>
          <w:ilvl w:val="2"/>
          <w:numId w:val="12"/>
        </w:numPr>
        <w:ind w:left="1418" w:hanging="698"/>
        <w:rPr>
          <w:rFonts w:cs="Arial"/>
          <w:szCs w:val="24"/>
        </w:rPr>
      </w:pPr>
      <w:r w:rsidRPr="007E03D4">
        <w:rPr>
          <w:rFonts w:cs="Arial"/>
          <w:szCs w:val="24"/>
        </w:rPr>
        <w:t>O</w:t>
      </w:r>
      <w:r w:rsidR="008818CB" w:rsidRPr="007E03D4">
        <w:rPr>
          <w:rFonts w:cs="Arial"/>
          <w:szCs w:val="24"/>
        </w:rPr>
        <w:t xml:space="preserve">versee the effectiveness of </w:t>
      </w:r>
      <w:r w:rsidR="00910A82">
        <w:rPr>
          <w:rFonts w:cs="Arial"/>
          <w:szCs w:val="24"/>
        </w:rPr>
        <w:t xml:space="preserve">communications </w:t>
      </w:r>
      <w:r w:rsidR="008818CB" w:rsidRPr="007E03D4">
        <w:rPr>
          <w:rFonts w:cs="Arial"/>
          <w:szCs w:val="24"/>
        </w:rPr>
        <w:t xml:space="preserve">with </w:t>
      </w:r>
      <w:r w:rsidR="00910A82">
        <w:rPr>
          <w:rFonts w:cs="Arial"/>
          <w:szCs w:val="24"/>
        </w:rPr>
        <w:t xml:space="preserve">stakeholders including Welsh Government, patients, staff and </w:t>
      </w:r>
      <w:r w:rsidR="008818CB" w:rsidRPr="007E03D4">
        <w:rPr>
          <w:rFonts w:cs="Arial"/>
          <w:szCs w:val="24"/>
        </w:rPr>
        <w:t>partners, ensuring the avoidance of r</w:t>
      </w:r>
      <w:r w:rsidR="007620FC" w:rsidRPr="007E03D4">
        <w:rPr>
          <w:rFonts w:cs="Arial"/>
          <w:szCs w:val="24"/>
        </w:rPr>
        <w:t>eputational harm as appropriate</w:t>
      </w:r>
      <w:r w:rsidRPr="007E03D4">
        <w:rPr>
          <w:rFonts w:cs="Arial"/>
          <w:szCs w:val="24"/>
        </w:rPr>
        <w:t>;</w:t>
      </w:r>
    </w:p>
    <w:p w14:paraId="181F27E1" w14:textId="7A7F432F" w:rsidR="00875EE5" w:rsidRPr="007E03D4" w:rsidRDefault="00875EE5" w:rsidP="00EB5213">
      <w:pPr>
        <w:pStyle w:val="ListParagraph"/>
        <w:numPr>
          <w:ilvl w:val="2"/>
          <w:numId w:val="12"/>
        </w:numPr>
        <w:ind w:left="1418" w:hanging="698"/>
        <w:rPr>
          <w:rFonts w:cs="Arial"/>
          <w:szCs w:val="24"/>
        </w:rPr>
      </w:pPr>
      <w:r w:rsidRPr="007E03D4">
        <w:rPr>
          <w:rFonts w:cs="Arial"/>
          <w:szCs w:val="24"/>
        </w:rPr>
        <w:lastRenderedPageBreak/>
        <w:t xml:space="preserve">Make </w:t>
      </w:r>
      <w:r w:rsidR="00B369CB" w:rsidRPr="007E03D4">
        <w:rPr>
          <w:rFonts w:cs="Arial"/>
          <w:szCs w:val="24"/>
        </w:rPr>
        <w:t xml:space="preserve">urgent </w:t>
      </w:r>
      <w:r w:rsidRPr="007E03D4">
        <w:rPr>
          <w:rFonts w:cs="Arial"/>
          <w:szCs w:val="24"/>
        </w:rPr>
        <w:t xml:space="preserve">decisions on behalf of the Board in relation to the </w:t>
      </w:r>
      <w:r w:rsidR="00B369CB" w:rsidRPr="007E03D4">
        <w:rPr>
          <w:rFonts w:cs="Arial"/>
          <w:szCs w:val="24"/>
        </w:rPr>
        <w:t xml:space="preserve">operational </w:t>
      </w:r>
      <w:r w:rsidRPr="007E03D4">
        <w:rPr>
          <w:rFonts w:cs="Arial"/>
          <w:szCs w:val="24"/>
        </w:rPr>
        <w:t xml:space="preserve">management </w:t>
      </w:r>
      <w:r w:rsidR="00B369CB" w:rsidRPr="007E03D4">
        <w:rPr>
          <w:rFonts w:cs="Arial"/>
          <w:szCs w:val="24"/>
        </w:rPr>
        <w:t xml:space="preserve">of </w:t>
      </w:r>
      <w:r w:rsidR="00910A82">
        <w:rPr>
          <w:rFonts w:cs="Arial"/>
          <w:szCs w:val="24"/>
        </w:rPr>
        <w:t>change associated with the TIIF and to formally</w:t>
      </w:r>
      <w:r w:rsidR="003B4237">
        <w:rPr>
          <w:rFonts w:cs="Arial"/>
          <w:szCs w:val="24"/>
        </w:rPr>
        <w:t xml:space="preserve"> report progress and to each public Board meeting</w:t>
      </w:r>
      <w:r w:rsidR="00B369CB" w:rsidRPr="007E03D4">
        <w:rPr>
          <w:rFonts w:cs="Arial"/>
          <w:szCs w:val="24"/>
        </w:rPr>
        <w:t>.</w:t>
      </w:r>
    </w:p>
    <w:p w14:paraId="331BAEE7" w14:textId="2B26D1C5" w:rsidR="000A2873" w:rsidRPr="00EB5213" w:rsidRDefault="000A2873" w:rsidP="00EB5213">
      <w:pPr>
        <w:pStyle w:val="Subtitle"/>
        <w:numPr>
          <w:ilvl w:val="0"/>
          <w:numId w:val="1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rFonts w:cs="Arial"/>
          <w:u w:val="none"/>
        </w:rPr>
      </w:pPr>
      <w:r w:rsidRPr="00EB5213">
        <w:rPr>
          <w:rFonts w:cs="Arial"/>
          <w:u w:val="none"/>
        </w:rPr>
        <w:t>AUTHORITY</w:t>
      </w:r>
    </w:p>
    <w:p w14:paraId="685AE79F" w14:textId="66EF6207" w:rsidR="007620FC" w:rsidRPr="007E03D4" w:rsidRDefault="002F057F" w:rsidP="007E03D4">
      <w:pPr>
        <w:pStyle w:val="ListParagraph"/>
        <w:numPr>
          <w:ilvl w:val="1"/>
          <w:numId w:val="12"/>
        </w:numPr>
        <w:rPr>
          <w:rFonts w:cs="Arial"/>
          <w:szCs w:val="24"/>
        </w:rPr>
      </w:pPr>
      <w:r w:rsidRPr="007E03D4">
        <w:rPr>
          <w:rFonts w:cs="Arial"/>
          <w:szCs w:val="24"/>
        </w:rPr>
        <w:t>T</w:t>
      </w:r>
      <w:r w:rsidR="000A2873" w:rsidRPr="007E03D4">
        <w:rPr>
          <w:rFonts w:cs="Arial"/>
          <w:szCs w:val="24"/>
        </w:rPr>
        <w:t xml:space="preserve">he </w:t>
      </w:r>
      <w:r w:rsidR="003B4237" w:rsidRPr="003B4237">
        <w:rPr>
          <w:rFonts w:cs="Arial"/>
          <w:szCs w:val="24"/>
        </w:rPr>
        <w:t>TIIF Steering Group</w:t>
      </w:r>
      <w:r w:rsidR="003B4237" w:rsidRPr="007E03D4">
        <w:rPr>
          <w:rFonts w:cs="Arial"/>
          <w:szCs w:val="24"/>
        </w:rPr>
        <w:t xml:space="preserve"> </w:t>
      </w:r>
      <w:r w:rsidR="000A2873" w:rsidRPr="007E03D4">
        <w:rPr>
          <w:rFonts w:cs="Arial"/>
          <w:szCs w:val="24"/>
        </w:rPr>
        <w:t xml:space="preserve">may investigate or have investigated any activity (clinical and non-clinical) </w:t>
      </w:r>
      <w:r w:rsidR="007620FC" w:rsidRPr="007E03D4">
        <w:rPr>
          <w:rFonts w:cs="Arial"/>
          <w:szCs w:val="24"/>
        </w:rPr>
        <w:t xml:space="preserve">to enable it to </w:t>
      </w:r>
      <w:r w:rsidR="00036F6D" w:rsidRPr="007E03D4">
        <w:rPr>
          <w:rFonts w:cs="Arial"/>
          <w:szCs w:val="24"/>
        </w:rPr>
        <w:t>discharge its responsibilities</w:t>
      </w:r>
      <w:r w:rsidR="000A2873" w:rsidRPr="007E03D4">
        <w:rPr>
          <w:rFonts w:cs="Arial"/>
          <w:szCs w:val="24"/>
        </w:rPr>
        <w:t xml:space="preserve">.  It may </w:t>
      </w:r>
      <w:r w:rsidR="007620FC" w:rsidRPr="007E03D4">
        <w:rPr>
          <w:rFonts w:cs="Arial"/>
          <w:szCs w:val="24"/>
        </w:rPr>
        <w:t xml:space="preserve">request from </w:t>
      </w:r>
      <w:r w:rsidR="00B369CB" w:rsidRPr="007E03D4">
        <w:rPr>
          <w:rFonts w:cs="Arial"/>
          <w:szCs w:val="24"/>
        </w:rPr>
        <w:t>the Chief Executive</w:t>
      </w:r>
      <w:r w:rsidR="00F86CB0" w:rsidRPr="007E03D4">
        <w:rPr>
          <w:rFonts w:cs="Arial"/>
          <w:szCs w:val="24"/>
        </w:rPr>
        <w:t xml:space="preserve">, </w:t>
      </w:r>
      <w:r w:rsidR="007620FC" w:rsidRPr="007E03D4">
        <w:rPr>
          <w:rFonts w:cs="Arial"/>
          <w:szCs w:val="24"/>
        </w:rPr>
        <w:t xml:space="preserve">any information it deems necessary to maintain visibility of critical issues and </w:t>
      </w:r>
      <w:r w:rsidR="001E1D73" w:rsidRPr="007E03D4">
        <w:rPr>
          <w:rFonts w:cs="Arial"/>
          <w:szCs w:val="24"/>
        </w:rPr>
        <w:t>transparency</w:t>
      </w:r>
      <w:r w:rsidR="007620FC" w:rsidRPr="007E03D4">
        <w:rPr>
          <w:rFonts w:cs="Arial"/>
          <w:szCs w:val="24"/>
        </w:rPr>
        <w:t xml:space="preserve"> of the full Board</w:t>
      </w:r>
      <w:r w:rsidR="00040ACB" w:rsidRPr="007E03D4">
        <w:rPr>
          <w:rFonts w:cs="Arial"/>
          <w:szCs w:val="24"/>
        </w:rPr>
        <w:t>.</w:t>
      </w:r>
    </w:p>
    <w:p w14:paraId="5205CFF7" w14:textId="1449AA9E" w:rsidR="000A2873" w:rsidRPr="00EB5213" w:rsidRDefault="00040ACB" w:rsidP="00EB5213">
      <w:pPr>
        <w:pStyle w:val="ListParagraph"/>
        <w:numPr>
          <w:ilvl w:val="1"/>
          <w:numId w:val="12"/>
        </w:numPr>
        <w:rPr>
          <w:rFonts w:cs="Arial"/>
          <w:szCs w:val="24"/>
        </w:rPr>
      </w:pPr>
      <w:r w:rsidRPr="00EB5213">
        <w:rPr>
          <w:rFonts w:cs="Arial"/>
          <w:szCs w:val="24"/>
        </w:rPr>
        <w:t xml:space="preserve">The </w:t>
      </w:r>
      <w:r w:rsidR="003B4237" w:rsidRPr="003B4237">
        <w:rPr>
          <w:rFonts w:cs="Arial"/>
          <w:szCs w:val="24"/>
        </w:rPr>
        <w:t>TIIF Steering Group</w:t>
      </w:r>
      <w:r w:rsidR="003B4237" w:rsidRPr="007E03D4">
        <w:rPr>
          <w:rFonts w:cs="Arial"/>
          <w:szCs w:val="24"/>
        </w:rPr>
        <w:t xml:space="preserve"> </w:t>
      </w:r>
      <w:r w:rsidR="000A2873" w:rsidRPr="00EB5213">
        <w:rPr>
          <w:rFonts w:cs="Arial"/>
          <w:szCs w:val="24"/>
        </w:rPr>
        <w:t xml:space="preserve">may also obtain </w:t>
      </w:r>
      <w:r w:rsidRPr="00EB5213">
        <w:rPr>
          <w:rFonts w:cs="Arial"/>
          <w:szCs w:val="24"/>
        </w:rPr>
        <w:t>external</w:t>
      </w:r>
      <w:r w:rsidR="000A2873" w:rsidRPr="00EB5213">
        <w:rPr>
          <w:rFonts w:cs="Arial"/>
          <w:szCs w:val="24"/>
        </w:rPr>
        <w:t xml:space="preserve"> legal or other independent professional advice </w:t>
      </w:r>
      <w:r w:rsidRPr="00EB5213">
        <w:rPr>
          <w:rFonts w:cs="Arial"/>
          <w:szCs w:val="24"/>
        </w:rPr>
        <w:t>if it considers this</w:t>
      </w:r>
      <w:r w:rsidR="000A2873" w:rsidRPr="00EB5213">
        <w:rPr>
          <w:rFonts w:cs="Arial"/>
          <w:szCs w:val="24"/>
        </w:rPr>
        <w:t xml:space="preserve"> necessary, in accordance with the Board’s procurement, b</w:t>
      </w:r>
      <w:r w:rsidRPr="00EB5213">
        <w:rPr>
          <w:rFonts w:cs="Arial"/>
          <w:szCs w:val="24"/>
        </w:rPr>
        <w:t>udgetary and other requirements.</w:t>
      </w:r>
    </w:p>
    <w:p w14:paraId="04D53531" w14:textId="76D55CE4" w:rsidR="000A2873" w:rsidRPr="00EB5213" w:rsidRDefault="00040ACB" w:rsidP="00EB5213">
      <w:pPr>
        <w:pStyle w:val="ListParagraph"/>
        <w:numPr>
          <w:ilvl w:val="1"/>
          <w:numId w:val="12"/>
        </w:numPr>
        <w:rPr>
          <w:rFonts w:cs="Arial"/>
          <w:szCs w:val="24"/>
        </w:rPr>
      </w:pPr>
      <w:r w:rsidRPr="00EB5213">
        <w:rPr>
          <w:rFonts w:cs="Arial"/>
          <w:szCs w:val="24"/>
        </w:rPr>
        <w:t xml:space="preserve">The </w:t>
      </w:r>
      <w:r w:rsidR="003B4237" w:rsidRPr="003B4237">
        <w:rPr>
          <w:rFonts w:cs="Arial"/>
          <w:szCs w:val="24"/>
        </w:rPr>
        <w:t>TIIF Steering Group</w:t>
      </w:r>
      <w:r w:rsidR="003B4237" w:rsidRPr="007E03D4">
        <w:rPr>
          <w:rFonts w:cs="Arial"/>
          <w:szCs w:val="24"/>
        </w:rPr>
        <w:t xml:space="preserve"> </w:t>
      </w:r>
      <w:r w:rsidR="00755DD7" w:rsidRPr="00EB5213">
        <w:rPr>
          <w:rFonts w:cs="Arial"/>
          <w:szCs w:val="24"/>
        </w:rPr>
        <w:t>has the authority to</w:t>
      </w:r>
      <w:r w:rsidR="000A2873" w:rsidRPr="00EB5213">
        <w:rPr>
          <w:rFonts w:cs="Arial"/>
          <w:szCs w:val="24"/>
        </w:rPr>
        <w:t xml:space="preserve"> consider and where appropriate, </w:t>
      </w:r>
      <w:r w:rsidRPr="00EB5213">
        <w:rPr>
          <w:rFonts w:cs="Arial"/>
          <w:szCs w:val="24"/>
        </w:rPr>
        <w:t>recommend Board approval of</w:t>
      </w:r>
      <w:r w:rsidR="000A2873" w:rsidRPr="00EB5213">
        <w:rPr>
          <w:rFonts w:cs="Arial"/>
          <w:szCs w:val="24"/>
        </w:rPr>
        <w:t xml:space="preserve"> any </w:t>
      </w:r>
      <w:r w:rsidR="003B4237">
        <w:rPr>
          <w:rFonts w:cs="Arial"/>
          <w:szCs w:val="24"/>
        </w:rPr>
        <w:t>TIIF</w:t>
      </w:r>
      <w:r w:rsidR="00F86CB0" w:rsidRPr="00EB5213">
        <w:rPr>
          <w:rFonts w:cs="Arial"/>
          <w:szCs w:val="24"/>
        </w:rPr>
        <w:t xml:space="preserve"> related </w:t>
      </w:r>
      <w:r w:rsidR="000A2873" w:rsidRPr="00EB5213">
        <w:rPr>
          <w:rFonts w:cs="Arial"/>
          <w:szCs w:val="24"/>
        </w:rPr>
        <w:t>policy</w:t>
      </w:r>
      <w:r w:rsidRPr="00EB5213">
        <w:rPr>
          <w:rFonts w:cs="Arial"/>
          <w:szCs w:val="24"/>
        </w:rPr>
        <w:t xml:space="preserve"> or strategy</w:t>
      </w:r>
      <w:r w:rsidR="000A2873" w:rsidRPr="00EB5213">
        <w:rPr>
          <w:rFonts w:cs="Arial"/>
          <w:szCs w:val="24"/>
        </w:rPr>
        <w:t xml:space="preserve"> </w:t>
      </w:r>
      <w:bookmarkStart w:id="0" w:name="_GoBack"/>
      <w:bookmarkEnd w:id="0"/>
      <w:r w:rsidR="000A2873" w:rsidRPr="00EB5213">
        <w:rPr>
          <w:rFonts w:cs="Arial"/>
          <w:szCs w:val="24"/>
        </w:rPr>
        <w:t xml:space="preserve">within the remit of </w:t>
      </w:r>
      <w:r w:rsidRPr="00EB5213">
        <w:rPr>
          <w:rFonts w:cs="Arial"/>
          <w:szCs w:val="24"/>
        </w:rPr>
        <w:t>its terms of reference.</w:t>
      </w:r>
    </w:p>
    <w:p w14:paraId="297D91FC" w14:textId="0E6B1199" w:rsidR="000A2873" w:rsidRPr="00EB5213" w:rsidRDefault="00066B42" w:rsidP="00EB5213">
      <w:pPr>
        <w:pStyle w:val="ListParagraph"/>
        <w:numPr>
          <w:ilvl w:val="1"/>
          <w:numId w:val="12"/>
        </w:numPr>
        <w:rPr>
          <w:rFonts w:cs="Arial"/>
          <w:szCs w:val="24"/>
        </w:rPr>
      </w:pPr>
      <w:r w:rsidRPr="00EB5213">
        <w:rPr>
          <w:rFonts w:cs="Arial"/>
          <w:szCs w:val="24"/>
        </w:rPr>
        <w:t xml:space="preserve">The </w:t>
      </w:r>
      <w:r w:rsidR="003B4237" w:rsidRPr="003B4237">
        <w:rPr>
          <w:rFonts w:cs="Arial"/>
          <w:szCs w:val="24"/>
        </w:rPr>
        <w:t>TIIF Steering Group</w:t>
      </w:r>
      <w:r w:rsidR="003B4237" w:rsidRPr="007E03D4">
        <w:rPr>
          <w:rFonts w:cs="Arial"/>
          <w:szCs w:val="24"/>
        </w:rPr>
        <w:t xml:space="preserve"> </w:t>
      </w:r>
      <w:r w:rsidR="00755DD7" w:rsidRPr="00EB5213">
        <w:rPr>
          <w:rFonts w:cs="Arial"/>
          <w:szCs w:val="24"/>
        </w:rPr>
        <w:t>has the authority to</w:t>
      </w:r>
      <w:r w:rsidR="000A2873" w:rsidRPr="00EB5213">
        <w:rPr>
          <w:rFonts w:cs="Arial"/>
          <w:szCs w:val="24"/>
        </w:rPr>
        <w:t xml:space="preserve"> </w:t>
      </w:r>
      <w:r w:rsidR="003B4237">
        <w:rPr>
          <w:rFonts w:cs="Arial"/>
          <w:szCs w:val="24"/>
        </w:rPr>
        <w:t xml:space="preserve">maintain and </w:t>
      </w:r>
      <w:r w:rsidR="000A2873" w:rsidRPr="00EB5213">
        <w:rPr>
          <w:rFonts w:cs="Arial"/>
          <w:szCs w:val="24"/>
        </w:rPr>
        <w:t xml:space="preserve">review </w:t>
      </w:r>
      <w:r w:rsidRPr="00EB5213">
        <w:rPr>
          <w:rFonts w:cs="Arial"/>
          <w:szCs w:val="24"/>
        </w:rPr>
        <w:t xml:space="preserve">the </w:t>
      </w:r>
      <w:r w:rsidR="003B4237">
        <w:rPr>
          <w:rFonts w:cs="Arial"/>
          <w:szCs w:val="24"/>
        </w:rPr>
        <w:t xml:space="preserve">TIIF </w:t>
      </w:r>
      <w:r w:rsidRPr="00EB5213">
        <w:rPr>
          <w:rFonts w:cs="Arial"/>
          <w:szCs w:val="24"/>
        </w:rPr>
        <w:t>Risk Register</w:t>
      </w:r>
      <w:r w:rsidR="000A2873" w:rsidRPr="00EB5213">
        <w:rPr>
          <w:rFonts w:cs="Arial"/>
          <w:szCs w:val="24"/>
        </w:rPr>
        <w:t xml:space="preserve"> and advise the </w:t>
      </w:r>
      <w:r w:rsidRPr="00EB5213">
        <w:rPr>
          <w:rFonts w:cs="Arial"/>
          <w:szCs w:val="24"/>
        </w:rPr>
        <w:t xml:space="preserve">full </w:t>
      </w:r>
      <w:r w:rsidR="000A2873" w:rsidRPr="00EB5213">
        <w:rPr>
          <w:rFonts w:cs="Arial"/>
          <w:szCs w:val="24"/>
        </w:rPr>
        <w:t xml:space="preserve">Board on the appropriateness of the scoring </w:t>
      </w:r>
      <w:r w:rsidRPr="00EB5213">
        <w:rPr>
          <w:rFonts w:cs="Arial"/>
          <w:szCs w:val="24"/>
        </w:rPr>
        <w:t>and mitigating actions in place.</w:t>
      </w:r>
    </w:p>
    <w:p w14:paraId="43919E79" w14:textId="4E65E304" w:rsidR="00CC7E2C" w:rsidRPr="00EB5213" w:rsidRDefault="00CC7E2C" w:rsidP="00EB5213">
      <w:pPr>
        <w:pStyle w:val="Subtitle"/>
        <w:numPr>
          <w:ilvl w:val="0"/>
          <w:numId w:val="1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rFonts w:cs="Arial"/>
          <w:u w:val="none"/>
        </w:rPr>
      </w:pPr>
      <w:r w:rsidRPr="00EB5213">
        <w:rPr>
          <w:rFonts w:cs="Arial"/>
          <w:u w:val="none"/>
        </w:rPr>
        <w:t>MEMBERSHIP</w:t>
      </w:r>
    </w:p>
    <w:p w14:paraId="7DA9F7CC" w14:textId="7E7C924A" w:rsidR="000A2873" w:rsidRPr="007E03D4" w:rsidRDefault="000A2873" w:rsidP="007E03D4">
      <w:pPr>
        <w:pStyle w:val="ListParagraph"/>
        <w:numPr>
          <w:ilvl w:val="1"/>
          <w:numId w:val="12"/>
        </w:numPr>
        <w:rPr>
          <w:rFonts w:cs="Arial"/>
          <w:szCs w:val="24"/>
        </w:rPr>
      </w:pPr>
      <w:r w:rsidRPr="007E03D4">
        <w:rPr>
          <w:rFonts w:cs="Arial"/>
          <w:b/>
          <w:bCs/>
          <w:szCs w:val="24"/>
        </w:rPr>
        <w:t>Members</w:t>
      </w:r>
    </w:p>
    <w:p w14:paraId="6107C091" w14:textId="3FDF049A" w:rsidR="007C0A5E" w:rsidRPr="007E03D4" w:rsidRDefault="003B4237" w:rsidP="007E03D4">
      <w:pPr>
        <w:pStyle w:val="ListParagraph"/>
        <w:numPr>
          <w:ilvl w:val="2"/>
          <w:numId w:val="15"/>
        </w:numPr>
        <w:autoSpaceDE w:val="0"/>
        <w:autoSpaceDN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Executive Director of </w:t>
      </w:r>
      <w:r w:rsidR="00ED71F8">
        <w:rPr>
          <w:rFonts w:cs="Arial"/>
          <w:szCs w:val="24"/>
        </w:rPr>
        <w:t xml:space="preserve">Integrated Clinical Delivery </w:t>
      </w:r>
      <w:r>
        <w:rPr>
          <w:rFonts w:cs="Arial"/>
          <w:szCs w:val="24"/>
        </w:rPr>
        <w:t>and Deputy Chief Executive</w:t>
      </w:r>
      <w:r w:rsidR="007C0A5E" w:rsidRPr="007E03D4">
        <w:rPr>
          <w:rFonts w:cs="Arial"/>
          <w:szCs w:val="24"/>
        </w:rPr>
        <w:t xml:space="preserve"> (Chair)</w:t>
      </w:r>
    </w:p>
    <w:p w14:paraId="3AE25142" w14:textId="35F9D588" w:rsidR="005A0D86" w:rsidRDefault="005A0D86" w:rsidP="005A0D86">
      <w:pPr>
        <w:pStyle w:val="ListParagraph"/>
        <w:numPr>
          <w:ilvl w:val="2"/>
          <w:numId w:val="15"/>
        </w:numPr>
        <w:autoSpaceDE w:val="0"/>
        <w:autoSpaceDN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Board Secretary </w:t>
      </w:r>
      <w:r w:rsidRPr="00A2501A">
        <w:rPr>
          <w:rFonts w:cs="Arial"/>
          <w:szCs w:val="24"/>
        </w:rPr>
        <w:t>(Vice Chair)</w:t>
      </w:r>
    </w:p>
    <w:p w14:paraId="1D1825CD" w14:textId="77777777" w:rsidR="003B4237" w:rsidRDefault="003B4237" w:rsidP="007E03D4">
      <w:pPr>
        <w:pStyle w:val="ListParagraph"/>
        <w:numPr>
          <w:ilvl w:val="2"/>
          <w:numId w:val="15"/>
        </w:numPr>
        <w:autoSpaceDE w:val="0"/>
        <w:autoSpaceDN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Executive Director of Public Health</w:t>
      </w:r>
    </w:p>
    <w:p w14:paraId="3C3B2881" w14:textId="77777777" w:rsidR="003B4237" w:rsidRDefault="003B4237" w:rsidP="007E03D4">
      <w:pPr>
        <w:pStyle w:val="ListParagraph"/>
        <w:numPr>
          <w:ilvl w:val="2"/>
          <w:numId w:val="15"/>
        </w:numPr>
        <w:autoSpaceDE w:val="0"/>
        <w:autoSpaceDN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Executive Director or Workforce and Organisational Development</w:t>
      </w:r>
    </w:p>
    <w:p w14:paraId="0C25F104" w14:textId="52D37F75" w:rsidR="003B4237" w:rsidRDefault="003B4237" w:rsidP="003B4237">
      <w:pPr>
        <w:pStyle w:val="ListParagraph"/>
        <w:numPr>
          <w:ilvl w:val="2"/>
          <w:numId w:val="15"/>
        </w:numPr>
        <w:autoSpaceDE w:val="0"/>
        <w:autoSpaceDN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Executive Director of Finance</w:t>
      </w:r>
    </w:p>
    <w:p w14:paraId="16CD941B" w14:textId="14F1241A" w:rsidR="00B03ADE" w:rsidRDefault="00B03ADE" w:rsidP="003B4237">
      <w:pPr>
        <w:pStyle w:val="ListParagraph"/>
        <w:numPr>
          <w:ilvl w:val="2"/>
          <w:numId w:val="15"/>
        </w:numPr>
        <w:autoSpaceDE w:val="0"/>
        <w:autoSpaceDN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Executive Director of </w:t>
      </w:r>
      <w:r w:rsidR="00ED71F8">
        <w:rPr>
          <w:rFonts w:cs="Arial"/>
          <w:szCs w:val="24"/>
        </w:rPr>
        <w:t xml:space="preserve">Transformation and Planning </w:t>
      </w:r>
    </w:p>
    <w:p w14:paraId="7A7D48EB" w14:textId="77777777" w:rsidR="005A0D86" w:rsidRPr="00A2501A" w:rsidRDefault="005A0D86" w:rsidP="005A0D86">
      <w:pPr>
        <w:pStyle w:val="ListParagraph"/>
        <w:numPr>
          <w:ilvl w:val="2"/>
          <w:numId w:val="15"/>
        </w:numPr>
        <w:autoSpaceDE w:val="0"/>
        <w:autoSpaceDN w:val="0"/>
        <w:spacing w:after="0"/>
        <w:rPr>
          <w:rFonts w:cs="Arial"/>
          <w:szCs w:val="24"/>
        </w:rPr>
      </w:pPr>
      <w:r w:rsidRPr="00A2501A">
        <w:rPr>
          <w:rFonts w:cs="Arial"/>
          <w:szCs w:val="24"/>
        </w:rPr>
        <w:t>Interim Director of Governance</w:t>
      </w:r>
    </w:p>
    <w:p w14:paraId="71E94856" w14:textId="77777777" w:rsidR="005A0D86" w:rsidRPr="00A2501A" w:rsidRDefault="005A0D86" w:rsidP="005A0D86">
      <w:pPr>
        <w:pStyle w:val="ListParagraph"/>
        <w:numPr>
          <w:ilvl w:val="2"/>
          <w:numId w:val="15"/>
        </w:numPr>
        <w:autoSpaceDE w:val="0"/>
        <w:autoSpaceDN w:val="0"/>
        <w:spacing w:after="0"/>
        <w:rPr>
          <w:rFonts w:cs="Arial"/>
          <w:szCs w:val="24"/>
        </w:rPr>
      </w:pPr>
      <w:r w:rsidRPr="00A2501A">
        <w:rPr>
          <w:rFonts w:cs="Arial"/>
          <w:szCs w:val="24"/>
        </w:rPr>
        <w:t xml:space="preserve">Director of Partnerships, Engagement and Communication </w:t>
      </w:r>
    </w:p>
    <w:p w14:paraId="24ED7B2C" w14:textId="77777777" w:rsidR="003B4237" w:rsidRDefault="003B4237" w:rsidP="003B4237">
      <w:pPr>
        <w:pStyle w:val="ListParagraph"/>
        <w:autoSpaceDE w:val="0"/>
        <w:autoSpaceDN w:val="0"/>
        <w:spacing w:after="0"/>
        <w:ind w:left="1224"/>
        <w:rPr>
          <w:rFonts w:cs="Arial"/>
          <w:szCs w:val="24"/>
        </w:rPr>
      </w:pPr>
    </w:p>
    <w:p w14:paraId="64F454FE" w14:textId="26584F78" w:rsidR="000A2873" w:rsidRPr="007E03D4" w:rsidRDefault="000A2873" w:rsidP="00512E0C">
      <w:pPr>
        <w:pStyle w:val="ListParagraph"/>
        <w:autoSpaceDE w:val="0"/>
        <w:autoSpaceDN w:val="0"/>
        <w:spacing w:after="0"/>
        <w:ind w:left="1224"/>
        <w:rPr>
          <w:rFonts w:cs="Arial"/>
          <w:szCs w:val="24"/>
        </w:rPr>
      </w:pPr>
      <w:r w:rsidRPr="007E03D4">
        <w:rPr>
          <w:rFonts w:cs="Arial"/>
          <w:b/>
          <w:szCs w:val="24"/>
        </w:rPr>
        <w:t>In attendance</w:t>
      </w:r>
    </w:p>
    <w:p w14:paraId="0DE16025" w14:textId="17E89D57" w:rsidR="005F6ED3" w:rsidRDefault="005F6ED3" w:rsidP="00EB5213">
      <w:pPr>
        <w:pStyle w:val="ListParagraph"/>
        <w:numPr>
          <w:ilvl w:val="2"/>
          <w:numId w:val="15"/>
        </w:numPr>
        <w:autoSpaceDE w:val="0"/>
        <w:autoSpaceDN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Assistant Director</w:t>
      </w:r>
      <w:r w:rsidR="00ED71F8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Corporate Governance</w:t>
      </w:r>
    </w:p>
    <w:p w14:paraId="7AC70552" w14:textId="77777777" w:rsidR="00EB5213" w:rsidRDefault="00EB5213" w:rsidP="00EB5213">
      <w:pPr>
        <w:pStyle w:val="ListParagraph"/>
        <w:autoSpaceDE w:val="0"/>
        <w:autoSpaceDN w:val="0"/>
        <w:spacing w:after="0"/>
        <w:ind w:left="1224"/>
        <w:rPr>
          <w:rFonts w:cs="Arial"/>
          <w:szCs w:val="24"/>
        </w:rPr>
      </w:pPr>
    </w:p>
    <w:p w14:paraId="65B6D5C3" w14:textId="2385EF14" w:rsidR="003B4237" w:rsidRDefault="00ED71F8" w:rsidP="00512E0C">
      <w:pPr>
        <w:pStyle w:val="ListParagraph"/>
        <w:numPr>
          <w:ilvl w:val="2"/>
          <w:numId w:val="12"/>
        </w:numPr>
        <w:ind w:left="1418" w:hanging="698"/>
        <w:rPr>
          <w:rFonts w:cs="Arial"/>
          <w:szCs w:val="24"/>
        </w:rPr>
      </w:pPr>
      <w:r>
        <w:rPr>
          <w:rFonts w:cs="Arial"/>
          <w:szCs w:val="24"/>
        </w:rPr>
        <w:t xml:space="preserve">In support of Health Board assurance processes, </w:t>
      </w:r>
      <w:r w:rsidR="003B4237">
        <w:rPr>
          <w:rFonts w:cs="Arial"/>
          <w:szCs w:val="24"/>
        </w:rPr>
        <w:t xml:space="preserve">Independent Members </w:t>
      </w:r>
      <w:r>
        <w:rPr>
          <w:rFonts w:cs="Arial"/>
          <w:szCs w:val="24"/>
        </w:rPr>
        <w:t xml:space="preserve">acting as a </w:t>
      </w:r>
      <w:r w:rsidR="003B4237">
        <w:rPr>
          <w:rFonts w:cs="Arial"/>
          <w:szCs w:val="24"/>
        </w:rPr>
        <w:t>link</w:t>
      </w:r>
      <w:r w:rsidR="00C61D56">
        <w:rPr>
          <w:rFonts w:cs="Arial"/>
          <w:szCs w:val="24"/>
        </w:rPr>
        <w:t xml:space="preserve"> IM</w:t>
      </w:r>
      <w:r w:rsidR="003B4237">
        <w:rPr>
          <w:rFonts w:cs="Arial"/>
          <w:szCs w:val="24"/>
        </w:rPr>
        <w:t xml:space="preserve"> to an SRO in the program</w:t>
      </w:r>
      <w:r>
        <w:rPr>
          <w:rFonts w:cs="Arial"/>
          <w:szCs w:val="24"/>
        </w:rPr>
        <w:t>me</w:t>
      </w:r>
      <w:r w:rsidR="003B4237">
        <w:rPr>
          <w:rFonts w:cs="Arial"/>
          <w:szCs w:val="24"/>
        </w:rPr>
        <w:t xml:space="preserve"> may attend any meeting of the </w:t>
      </w:r>
      <w:r>
        <w:rPr>
          <w:rFonts w:cs="Arial"/>
          <w:szCs w:val="24"/>
        </w:rPr>
        <w:t>S</w:t>
      </w:r>
      <w:r w:rsidR="003B4237">
        <w:rPr>
          <w:rFonts w:cs="Arial"/>
          <w:szCs w:val="24"/>
        </w:rPr>
        <w:t xml:space="preserve">teering </w:t>
      </w:r>
      <w:r>
        <w:rPr>
          <w:rFonts w:cs="Arial"/>
          <w:szCs w:val="24"/>
        </w:rPr>
        <w:t>G</w:t>
      </w:r>
      <w:r w:rsidR="003B4237">
        <w:rPr>
          <w:rFonts w:cs="Arial"/>
          <w:szCs w:val="24"/>
        </w:rPr>
        <w:t xml:space="preserve">roup </w:t>
      </w:r>
      <w:r w:rsidR="0060273C">
        <w:rPr>
          <w:rFonts w:cs="Arial"/>
          <w:szCs w:val="24"/>
        </w:rPr>
        <w:t xml:space="preserve">or relevant Evidence / Outcomes Group meeting </w:t>
      </w:r>
      <w:r w:rsidR="003B4237">
        <w:rPr>
          <w:rFonts w:cs="Arial"/>
          <w:szCs w:val="24"/>
        </w:rPr>
        <w:t>by giving due notice to the Chair.</w:t>
      </w:r>
    </w:p>
    <w:p w14:paraId="4DC3CDB7" w14:textId="260450CC" w:rsidR="000A2873" w:rsidRPr="007E03D4" w:rsidRDefault="007C0A5E" w:rsidP="00512E0C">
      <w:pPr>
        <w:pStyle w:val="ListParagraph"/>
        <w:numPr>
          <w:ilvl w:val="2"/>
          <w:numId w:val="12"/>
        </w:numPr>
        <w:ind w:left="1418" w:hanging="698"/>
        <w:rPr>
          <w:rFonts w:cs="Arial"/>
          <w:szCs w:val="24"/>
        </w:rPr>
      </w:pPr>
      <w:r w:rsidRPr="007E03D4">
        <w:rPr>
          <w:rFonts w:cs="Arial"/>
          <w:szCs w:val="24"/>
        </w:rPr>
        <w:t xml:space="preserve">Other Executives, </w:t>
      </w:r>
      <w:r w:rsidR="006D4A3B" w:rsidRPr="007E03D4">
        <w:rPr>
          <w:rFonts w:cs="Arial"/>
          <w:szCs w:val="24"/>
        </w:rPr>
        <w:t xml:space="preserve">Independent Members, </w:t>
      </w:r>
      <w:r w:rsidRPr="007E03D4">
        <w:rPr>
          <w:rFonts w:cs="Arial"/>
          <w:szCs w:val="24"/>
        </w:rPr>
        <w:t>o</w:t>
      </w:r>
      <w:r w:rsidR="000A2873" w:rsidRPr="007E03D4">
        <w:rPr>
          <w:rFonts w:cs="Arial"/>
          <w:szCs w:val="24"/>
        </w:rPr>
        <w:t>fficers</w:t>
      </w:r>
      <w:r w:rsidRPr="007E03D4">
        <w:rPr>
          <w:rFonts w:cs="Arial"/>
          <w:szCs w:val="24"/>
        </w:rPr>
        <w:t xml:space="preserve"> and special advisers</w:t>
      </w:r>
      <w:r w:rsidR="000A2873" w:rsidRPr="007E03D4">
        <w:rPr>
          <w:rFonts w:cs="Arial"/>
          <w:szCs w:val="24"/>
        </w:rPr>
        <w:t xml:space="preserve"> </w:t>
      </w:r>
      <w:r w:rsidR="006D4A3B" w:rsidRPr="007E03D4">
        <w:rPr>
          <w:rFonts w:cs="Arial"/>
          <w:szCs w:val="24"/>
        </w:rPr>
        <w:t>may</w:t>
      </w:r>
      <w:r w:rsidRPr="007E03D4">
        <w:rPr>
          <w:rFonts w:cs="Arial"/>
          <w:szCs w:val="24"/>
        </w:rPr>
        <w:t xml:space="preserve"> join as required by the </w:t>
      </w:r>
      <w:r w:rsidR="000A2873" w:rsidRPr="007E03D4">
        <w:rPr>
          <w:rFonts w:cs="Arial"/>
          <w:szCs w:val="24"/>
        </w:rPr>
        <w:t xml:space="preserve">Chair, as well </w:t>
      </w:r>
      <w:r w:rsidR="00B4073D" w:rsidRPr="007E03D4">
        <w:rPr>
          <w:rFonts w:cs="Arial"/>
          <w:szCs w:val="24"/>
        </w:rPr>
        <w:t xml:space="preserve">as </w:t>
      </w:r>
      <w:r w:rsidR="000A2873" w:rsidRPr="007E03D4">
        <w:rPr>
          <w:rFonts w:cs="Arial"/>
          <w:szCs w:val="24"/>
        </w:rPr>
        <w:t xml:space="preserve">any others from within or outside the </w:t>
      </w:r>
      <w:r w:rsidR="009127B6" w:rsidRPr="007E03D4">
        <w:rPr>
          <w:rFonts w:cs="Arial"/>
          <w:szCs w:val="24"/>
        </w:rPr>
        <w:t>organi</w:t>
      </w:r>
      <w:r w:rsidR="005A0D86">
        <w:rPr>
          <w:rFonts w:cs="Arial"/>
          <w:szCs w:val="24"/>
        </w:rPr>
        <w:t>s</w:t>
      </w:r>
      <w:r w:rsidR="009127B6" w:rsidRPr="007E03D4">
        <w:rPr>
          <w:rFonts w:cs="Arial"/>
          <w:szCs w:val="24"/>
        </w:rPr>
        <w:t>ation</w:t>
      </w:r>
      <w:r w:rsidR="000A2873" w:rsidRPr="007E03D4">
        <w:rPr>
          <w:rFonts w:cs="Arial"/>
          <w:szCs w:val="24"/>
        </w:rPr>
        <w:t xml:space="preserve"> who</w:t>
      </w:r>
      <w:r w:rsidR="006D4A3B" w:rsidRPr="007E03D4">
        <w:rPr>
          <w:rFonts w:cs="Arial"/>
          <w:szCs w:val="24"/>
        </w:rPr>
        <w:t>m</w:t>
      </w:r>
      <w:r w:rsidR="000A2873" w:rsidRPr="007E03D4">
        <w:rPr>
          <w:rFonts w:cs="Arial"/>
          <w:szCs w:val="24"/>
        </w:rPr>
        <w:t xml:space="preserve"> the </w:t>
      </w:r>
      <w:r w:rsidR="003B4237">
        <w:rPr>
          <w:rFonts w:cs="Arial"/>
          <w:szCs w:val="24"/>
        </w:rPr>
        <w:t>TIIF Steering Group</w:t>
      </w:r>
      <w:r w:rsidR="00204E6F">
        <w:rPr>
          <w:rFonts w:cs="Arial"/>
          <w:szCs w:val="24"/>
        </w:rPr>
        <w:t xml:space="preserve"> </w:t>
      </w:r>
      <w:r w:rsidR="00DE4B39">
        <w:rPr>
          <w:rFonts w:cs="Arial"/>
          <w:szCs w:val="24"/>
        </w:rPr>
        <w:t>c</w:t>
      </w:r>
      <w:r w:rsidR="000A2873" w:rsidRPr="007E03D4">
        <w:rPr>
          <w:rFonts w:cs="Arial"/>
          <w:szCs w:val="24"/>
        </w:rPr>
        <w:t xml:space="preserve">onsiders should </w:t>
      </w:r>
      <w:r w:rsidRPr="007E03D4">
        <w:rPr>
          <w:rFonts w:cs="Arial"/>
          <w:szCs w:val="24"/>
        </w:rPr>
        <w:t>be invited</w:t>
      </w:r>
      <w:r w:rsidR="000A2873" w:rsidRPr="007E03D4">
        <w:rPr>
          <w:rFonts w:cs="Arial"/>
          <w:szCs w:val="24"/>
        </w:rPr>
        <w:t>, taking into account the matters under consideration at each meeting.</w:t>
      </w:r>
    </w:p>
    <w:p w14:paraId="6BB7C802" w14:textId="77777777" w:rsidR="00121394" w:rsidRPr="007E03D4" w:rsidRDefault="00121394" w:rsidP="007E03D4">
      <w:pPr>
        <w:rPr>
          <w:rFonts w:ascii="Arial" w:hAnsi="Arial" w:cs="Arial"/>
        </w:rPr>
      </w:pPr>
    </w:p>
    <w:p w14:paraId="0480EF77" w14:textId="0A85F464" w:rsidR="000A2873" w:rsidRPr="007E03D4" w:rsidRDefault="000A2873" w:rsidP="007E03D4">
      <w:pPr>
        <w:pStyle w:val="ListParagraph"/>
        <w:numPr>
          <w:ilvl w:val="1"/>
          <w:numId w:val="12"/>
        </w:numPr>
        <w:rPr>
          <w:rFonts w:cs="Arial"/>
          <w:b/>
          <w:szCs w:val="24"/>
        </w:rPr>
      </w:pPr>
      <w:r w:rsidRPr="007E03D4">
        <w:rPr>
          <w:rFonts w:cs="Arial"/>
          <w:b/>
          <w:szCs w:val="24"/>
        </w:rPr>
        <w:t>Member Appointments</w:t>
      </w:r>
    </w:p>
    <w:p w14:paraId="056C1F78" w14:textId="671B0942" w:rsidR="000A2873" w:rsidRPr="007E03D4" w:rsidRDefault="000A2873" w:rsidP="007E03D4">
      <w:pPr>
        <w:pStyle w:val="ListParagraph"/>
        <w:numPr>
          <w:ilvl w:val="2"/>
          <w:numId w:val="12"/>
        </w:numPr>
        <w:ind w:left="1418" w:hanging="698"/>
        <w:rPr>
          <w:rFonts w:cs="Arial"/>
          <w:szCs w:val="24"/>
        </w:rPr>
      </w:pPr>
      <w:r w:rsidRPr="007E03D4">
        <w:rPr>
          <w:rFonts w:cs="Arial"/>
          <w:szCs w:val="24"/>
        </w:rPr>
        <w:t xml:space="preserve">The membership of the </w:t>
      </w:r>
      <w:r w:rsidR="003B4237" w:rsidRPr="003B4237">
        <w:rPr>
          <w:rFonts w:cs="Arial"/>
          <w:szCs w:val="24"/>
        </w:rPr>
        <w:t>TIIF Steering Group</w:t>
      </w:r>
      <w:r w:rsidR="003B4237" w:rsidRPr="007E03D4">
        <w:rPr>
          <w:rFonts w:cs="Arial"/>
          <w:szCs w:val="24"/>
        </w:rPr>
        <w:t xml:space="preserve"> </w:t>
      </w:r>
      <w:r w:rsidRPr="007E03D4">
        <w:rPr>
          <w:rFonts w:cs="Arial"/>
          <w:szCs w:val="24"/>
        </w:rPr>
        <w:t>shall be determined by the Chair</w:t>
      </w:r>
      <w:r w:rsidR="003620C2" w:rsidRPr="007E03D4">
        <w:rPr>
          <w:rFonts w:cs="Arial"/>
          <w:szCs w:val="24"/>
        </w:rPr>
        <w:t>,</w:t>
      </w:r>
      <w:r w:rsidRPr="007E03D4">
        <w:rPr>
          <w:rFonts w:cs="Arial"/>
          <w:szCs w:val="24"/>
        </w:rPr>
        <w:t xml:space="preserve"> taking account of the balance of skills and expertise necessary to deliver the </w:t>
      </w:r>
      <w:r w:rsidR="00512E0C" w:rsidRPr="003B4237">
        <w:rPr>
          <w:rFonts w:cs="Arial"/>
          <w:szCs w:val="24"/>
        </w:rPr>
        <w:t>TIIF Steering Group</w:t>
      </w:r>
      <w:r w:rsidR="00512E0C">
        <w:rPr>
          <w:rFonts w:cs="Arial"/>
          <w:szCs w:val="24"/>
        </w:rPr>
        <w:t>’s</w:t>
      </w:r>
      <w:r w:rsidR="00512E0C" w:rsidRPr="007E03D4">
        <w:rPr>
          <w:rFonts w:cs="Arial"/>
          <w:szCs w:val="24"/>
        </w:rPr>
        <w:t xml:space="preserve"> </w:t>
      </w:r>
      <w:r w:rsidRPr="007E03D4">
        <w:rPr>
          <w:rFonts w:cs="Arial"/>
          <w:szCs w:val="24"/>
        </w:rPr>
        <w:t>remit and subject to any specific requirements or directions made by the Welsh Government. T</w:t>
      </w:r>
      <w:r w:rsidR="003620C2" w:rsidRPr="007E03D4">
        <w:rPr>
          <w:rFonts w:cs="Arial"/>
          <w:szCs w:val="24"/>
        </w:rPr>
        <w:t xml:space="preserve">he Chair may if required </w:t>
      </w:r>
      <w:r w:rsidRPr="007E03D4">
        <w:rPr>
          <w:rFonts w:cs="Arial"/>
          <w:szCs w:val="24"/>
        </w:rPr>
        <w:t xml:space="preserve">appoint </w:t>
      </w:r>
      <w:r w:rsidR="003620C2" w:rsidRPr="007E03D4">
        <w:rPr>
          <w:rFonts w:cs="Arial"/>
          <w:szCs w:val="24"/>
        </w:rPr>
        <w:t>a</w:t>
      </w:r>
      <w:r w:rsidRPr="007E03D4">
        <w:rPr>
          <w:rFonts w:cs="Arial"/>
          <w:szCs w:val="24"/>
        </w:rPr>
        <w:t xml:space="preserve"> Vice-Chair.</w:t>
      </w:r>
    </w:p>
    <w:p w14:paraId="42F40E07" w14:textId="2BD13431" w:rsidR="000A2873" w:rsidRPr="007E03D4" w:rsidRDefault="000A2873" w:rsidP="007E03D4">
      <w:pPr>
        <w:pStyle w:val="ListParagraph"/>
        <w:numPr>
          <w:ilvl w:val="1"/>
          <w:numId w:val="12"/>
        </w:numPr>
        <w:rPr>
          <w:rFonts w:cs="Arial"/>
          <w:b/>
          <w:szCs w:val="24"/>
        </w:rPr>
      </w:pPr>
      <w:r w:rsidRPr="007E03D4">
        <w:rPr>
          <w:rFonts w:cs="Arial"/>
          <w:b/>
          <w:szCs w:val="24"/>
        </w:rPr>
        <w:t>S</w:t>
      </w:r>
      <w:r w:rsidR="007E03D4" w:rsidRPr="007E03D4">
        <w:rPr>
          <w:rFonts w:cs="Arial"/>
          <w:b/>
          <w:szCs w:val="24"/>
        </w:rPr>
        <w:t>ecretariat</w:t>
      </w:r>
    </w:p>
    <w:p w14:paraId="2E2D70B6" w14:textId="77777777" w:rsidR="000A2873" w:rsidRPr="007E03D4" w:rsidRDefault="00E01D43" w:rsidP="00EB5213">
      <w:pPr>
        <w:pStyle w:val="ListParagraph"/>
      </w:pPr>
      <w:r w:rsidRPr="007E03D4">
        <w:t xml:space="preserve">The </w:t>
      </w:r>
      <w:r w:rsidR="000A2873" w:rsidRPr="007E03D4">
        <w:t>Secretar</w:t>
      </w:r>
      <w:r w:rsidRPr="007E03D4">
        <w:t>iat will be</w:t>
      </w:r>
      <w:r w:rsidR="000A2873" w:rsidRPr="007E03D4">
        <w:t xml:space="preserve"> determined by the Board Secretary. </w:t>
      </w:r>
    </w:p>
    <w:p w14:paraId="1DB1459A" w14:textId="71F685AE" w:rsidR="000A2873" w:rsidRPr="007E03D4" w:rsidRDefault="000A2873" w:rsidP="007E03D4">
      <w:pPr>
        <w:pStyle w:val="ListParagraph"/>
        <w:numPr>
          <w:ilvl w:val="1"/>
          <w:numId w:val="12"/>
        </w:numPr>
        <w:tabs>
          <w:tab w:val="left" w:pos="-1440"/>
        </w:tabs>
        <w:rPr>
          <w:rFonts w:cs="Arial"/>
          <w:b/>
          <w:szCs w:val="24"/>
        </w:rPr>
      </w:pPr>
      <w:r w:rsidRPr="007E03D4">
        <w:rPr>
          <w:rFonts w:cs="Arial"/>
          <w:b/>
          <w:szCs w:val="24"/>
        </w:rPr>
        <w:t>S</w:t>
      </w:r>
      <w:r w:rsidR="007E03D4" w:rsidRPr="007E03D4">
        <w:rPr>
          <w:rFonts w:cs="Arial"/>
          <w:b/>
          <w:szCs w:val="24"/>
        </w:rPr>
        <w:t xml:space="preserve">upport to </w:t>
      </w:r>
      <w:r w:rsidR="00512E0C">
        <w:rPr>
          <w:rFonts w:cs="Arial"/>
          <w:b/>
          <w:szCs w:val="24"/>
        </w:rPr>
        <w:t>Group</w:t>
      </w:r>
      <w:r w:rsidR="007E03D4" w:rsidRPr="007E03D4">
        <w:rPr>
          <w:rFonts w:cs="Arial"/>
          <w:b/>
          <w:szCs w:val="24"/>
        </w:rPr>
        <w:t xml:space="preserve"> Members</w:t>
      </w:r>
    </w:p>
    <w:p w14:paraId="34C7F75E" w14:textId="7AAA5863" w:rsidR="000A2873" w:rsidRPr="007E03D4" w:rsidRDefault="000A2873" w:rsidP="00EB5213">
      <w:pPr>
        <w:pStyle w:val="ListParagraph"/>
      </w:pPr>
      <w:r w:rsidRPr="007E03D4">
        <w:t>The Board Secretary, on behalf of the Chair, shall</w:t>
      </w:r>
      <w:r w:rsidR="00E01D43" w:rsidRPr="007E03D4">
        <w:t xml:space="preserve"> a</w:t>
      </w:r>
      <w:r w:rsidRPr="007E03D4">
        <w:t xml:space="preserve">rrange the provision of advice and support to </w:t>
      </w:r>
      <w:r w:rsidR="00512E0C" w:rsidRPr="003B4237">
        <w:rPr>
          <w:rFonts w:cs="Arial"/>
          <w:szCs w:val="24"/>
        </w:rPr>
        <w:t>TIIF Steering Group</w:t>
      </w:r>
      <w:r w:rsidRPr="007E03D4">
        <w:t xml:space="preserve"> members on any aspect relat</w:t>
      </w:r>
      <w:r w:rsidR="00E01D43" w:rsidRPr="007E03D4">
        <w:t>ed to the conduct of their role.</w:t>
      </w:r>
    </w:p>
    <w:p w14:paraId="4DB20A84" w14:textId="695B29B8" w:rsidR="000A2873" w:rsidRPr="00EB5213" w:rsidRDefault="00512E0C" w:rsidP="00EB5213">
      <w:pPr>
        <w:pStyle w:val="Subtitle"/>
        <w:numPr>
          <w:ilvl w:val="0"/>
          <w:numId w:val="1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rFonts w:cs="Arial"/>
          <w:u w:val="none"/>
        </w:rPr>
      </w:pPr>
      <w:r w:rsidRPr="00512E0C">
        <w:rPr>
          <w:rFonts w:cs="Arial"/>
          <w:u w:val="none"/>
        </w:rPr>
        <w:t>TIIF STEERING GROUP</w:t>
      </w:r>
      <w:r w:rsidRPr="007E03D4">
        <w:rPr>
          <w:rFonts w:cs="Arial"/>
        </w:rPr>
        <w:t xml:space="preserve"> </w:t>
      </w:r>
      <w:r w:rsidR="000A2873" w:rsidRPr="00EB5213">
        <w:rPr>
          <w:rFonts w:cs="Arial"/>
          <w:u w:val="none"/>
        </w:rPr>
        <w:t>MEETINGS</w:t>
      </w:r>
    </w:p>
    <w:p w14:paraId="424A399A" w14:textId="77777777" w:rsidR="000A2873" w:rsidRPr="007E03D4" w:rsidRDefault="000A2873" w:rsidP="007E03D4">
      <w:pPr>
        <w:rPr>
          <w:rFonts w:ascii="Arial" w:hAnsi="Arial" w:cs="Arial"/>
          <w:b/>
          <w:bCs/>
          <w:color w:val="000000"/>
        </w:rPr>
      </w:pPr>
    </w:p>
    <w:p w14:paraId="3490A602" w14:textId="381AB1E4" w:rsidR="000A2873" w:rsidRPr="007E03D4" w:rsidRDefault="000A2873" w:rsidP="007E03D4">
      <w:pPr>
        <w:pStyle w:val="ListParagraph"/>
        <w:numPr>
          <w:ilvl w:val="1"/>
          <w:numId w:val="12"/>
        </w:numPr>
        <w:rPr>
          <w:rFonts w:cs="Arial"/>
          <w:b/>
          <w:bCs/>
          <w:color w:val="000000"/>
          <w:szCs w:val="24"/>
        </w:rPr>
      </w:pPr>
      <w:r w:rsidRPr="007E03D4">
        <w:rPr>
          <w:rFonts w:cs="Arial"/>
          <w:b/>
          <w:bCs/>
          <w:color w:val="000000"/>
          <w:szCs w:val="24"/>
        </w:rPr>
        <w:t xml:space="preserve">Quorum </w:t>
      </w:r>
    </w:p>
    <w:p w14:paraId="4A5D8AFD" w14:textId="0439D93F" w:rsidR="000A2873" w:rsidRPr="007E03D4" w:rsidRDefault="000A2873" w:rsidP="00EB5213">
      <w:pPr>
        <w:pStyle w:val="ListParagraph"/>
      </w:pPr>
      <w:r w:rsidRPr="007E03D4">
        <w:t xml:space="preserve">At least </w:t>
      </w:r>
      <w:r w:rsidR="00512E0C">
        <w:t>three</w:t>
      </w:r>
      <w:r w:rsidRPr="007E03D4">
        <w:t xml:space="preserve"> </w:t>
      </w:r>
      <w:r w:rsidR="00512E0C">
        <w:t>m</w:t>
      </w:r>
      <w:r w:rsidRPr="007E03D4">
        <w:t xml:space="preserve">embers must </w:t>
      </w:r>
      <w:r w:rsidR="003C0820" w:rsidRPr="007E03D4">
        <w:t>join a meeting</w:t>
      </w:r>
      <w:r w:rsidRPr="007E03D4">
        <w:t xml:space="preserve"> to ensure </w:t>
      </w:r>
      <w:r w:rsidR="00512E0C">
        <w:t>a</w:t>
      </w:r>
      <w:r w:rsidRPr="007E03D4">
        <w:t xml:space="preserve"> quorum of the </w:t>
      </w:r>
      <w:r w:rsidR="00DE4B39">
        <w:t>Steering Group</w:t>
      </w:r>
      <w:r w:rsidR="00EE2D4B">
        <w:t>, this must include the Chair or Vice Chair</w:t>
      </w:r>
      <w:r w:rsidRPr="00204E6F">
        <w:t>.</w:t>
      </w:r>
      <w:r w:rsidR="00156321" w:rsidRPr="007E03D4">
        <w:t xml:space="preserve">  </w:t>
      </w:r>
    </w:p>
    <w:p w14:paraId="6E8C40A9" w14:textId="25229D40" w:rsidR="000A2873" w:rsidRPr="007E03D4" w:rsidRDefault="000A2873" w:rsidP="007E03D4">
      <w:pPr>
        <w:pStyle w:val="ListParagraph"/>
        <w:numPr>
          <w:ilvl w:val="1"/>
          <w:numId w:val="12"/>
        </w:numPr>
        <w:rPr>
          <w:rFonts w:cs="Arial"/>
          <w:b/>
          <w:bCs/>
          <w:color w:val="000000"/>
          <w:szCs w:val="24"/>
        </w:rPr>
      </w:pPr>
      <w:r w:rsidRPr="007E03D4">
        <w:rPr>
          <w:rFonts w:cs="Arial"/>
          <w:b/>
          <w:bCs/>
          <w:color w:val="000000"/>
          <w:szCs w:val="24"/>
        </w:rPr>
        <w:t xml:space="preserve">Frequency of Meetings </w:t>
      </w:r>
    </w:p>
    <w:p w14:paraId="7EBE3896" w14:textId="3BDCDD25" w:rsidR="00512E0C" w:rsidRPr="007E03D4" w:rsidRDefault="000A2873" w:rsidP="005A0D86">
      <w:pPr>
        <w:pStyle w:val="ListParagraph"/>
      </w:pPr>
      <w:r w:rsidRPr="007E03D4">
        <w:lastRenderedPageBreak/>
        <w:t xml:space="preserve">Meetings shall </w:t>
      </w:r>
      <w:r w:rsidR="00512E0C">
        <w:t xml:space="preserve">normally </w:t>
      </w:r>
      <w:r w:rsidRPr="007E03D4">
        <w:t xml:space="preserve">be held </w:t>
      </w:r>
      <w:r w:rsidR="00E01D43" w:rsidRPr="007E03D4">
        <w:t xml:space="preserve">once per </w:t>
      </w:r>
      <w:r w:rsidR="00B369CB" w:rsidRPr="007E03D4">
        <w:t xml:space="preserve">month, but may be convened at short notice if requested by the </w:t>
      </w:r>
      <w:r w:rsidR="0091559C">
        <w:t>C</w:t>
      </w:r>
      <w:r w:rsidR="00B369CB" w:rsidRPr="007E03D4">
        <w:t>hair</w:t>
      </w:r>
      <w:r w:rsidR="00E01D43" w:rsidRPr="007E03D4">
        <w:t>.</w:t>
      </w:r>
      <w:r w:rsidRPr="007E03D4">
        <w:t xml:space="preserve"> </w:t>
      </w:r>
    </w:p>
    <w:p w14:paraId="51787331" w14:textId="7A335E10" w:rsidR="000A2873" w:rsidRPr="007E03D4" w:rsidRDefault="000A2873" w:rsidP="007E03D4">
      <w:pPr>
        <w:pStyle w:val="ListParagraph"/>
        <w:numPr>
          <w:ilvl w:val="1"/>
          <w:numId w:val="12"/>
        </w:numPr>
        <w:rPr>
          <w:rFonts w:cs="Arial"/>
          <w:b/>
          <w:bCs/>
          <w:color w:val="000000"/>
          <w:szCs w:val="24"/>
        </w:rPr>
      </w:pPr>
      <w:r w:rsidRPr="007E03D4">
        <w:rPr>
          <w:rFonts w:cs="Arial"/>
          <w:b/>
          <w:bCs/>
          <w:color w:val="000000"/>
          <w:szCs w:val="24"/>
        </w:rPr>
        <w:t xml:space="preserve">Withdrawal of individuals in attendance </w:t>
      </w:r>
    </w:p>
    <w:p w14:paraId="25D8139C" w14:textId="2CE051BF" w:rsidR="000A2873" w:rsidRPr="007E03D4" w:rsidRDefault="000A2873" w:rsidP="00EB5213">
      <w:pPr>
        <w:pStyle w:val="ListParagraph"/>
      </w:pPr>
      <w:r w:rsidRPr="007E03D4">
        <w:t xml:space="preserve">The </w:t>
      </w:r>
      <w:r w:rsidR="00512E0C" w:rsidRPr="003B4237">
        <w:rPr>
          <w:rFonts w:cs="Arial"/>
          <w:szCs w:val="24"/>
        </w:rPr>
        <w:t>TIIF Steering Group</w:t>
      </w:r>
      <w:r w:rsidR="00512E0C" w:rsidRPr="007E03D4">
        <w:rPr>
          <w:rFonts w:cs="Arial"/>
          <w:szCs w:val="24"/>
        </w:rPr>
        <w:t xml:space="preserve"> </w:t>
      </w:r>
      <w:r w:rsidR="00204E6F">
        <w:t xml:space="preserve">may ask any or all </w:t>
      </w:r>
      <w:r w:rsidR="0091559C">
        <w:t>non-board member</w:t>
      </w:r>
      <w:r w:rsidR="00204E6F">
        <w:t>s</w:t>
      </w:r>
      <w:r w:rsidR="0091559C">
        <w:t xml:space="preserve"> who would </w:t>
      </w:r>
      <w:r w:rsidRPr="007E03D4">
        <w:t xml:space="preserve">normally attend but who are not members to withdraw to facilitate open and frank discussion of particular matters. </w:t>
      </w:r>
    </w:p>
    <w:p w14:paraId="3E1E1818" w14:textId="606DFDB4" w:rsidR="003C0820" w:rsidRPr="007E03D4" w:rsidRDefault="007E03D4" w:rsidP="007E03D4">
      <w:pPr>
        <w:pStyle w:val="ListParagraph"/>
        <w:numPr>
          <w:ilvl w:val="1"/>
          <w:numId w:val="12"/>
        </w:numPr>
        <w:rPr>
          <w:rFonts w:cs="Arial"/>
          <w:b/>
          <w:color w:val="000000"/>
          <w:szCs w:val="24"/>
        </w:rPr>
      </w:pPr>
      <w:r w:rsidRPr="007E03D4">
        <w:rPr>
          <w:rFonts w:cs="Arial"/>
          <w:b/>
          <w:color w:val="000000"/>
          <w:szCs w:val="24"/>
        </w:rPr>
        <w:t>C</w:t>
      </w:r>
      <w:r w:rsidR="003C0820" w:rsidRPr="007E03D4">
        <w:rPr>
          <w:rFonts w:cs="Arial"/>
          <w:b/>
          <w:color w:val="000000"/>
          <w:szCs w:val="24"/>
        </w:rPr>
        <w:t>onduct of Meetings</w:t>
      </w:r>
    </w:p>
    <w:p w14:paraId="46D37C73" w14:textId="1E496E14" w:rsidR="003C0820" w:rsidRPr="007E03D4" w:rsidRDefault="003C0820" w:rsidP="00EB5213">
      <w:pPr>
        <w:pStyle w:val="ListParagraph"/>
      </w:pPr>
      <w:r w:rsidRPr="007E03D4">
        <w:t xml:space="preserve">Meetings </w:t>
      </w:r>
      <w:r w:rsidR="00512E0C">
        <w:t xml:space="preserve">may be </w:t>
      </w:r>
      <w:r w:rsidRPr="007E03D4">
        <w:t xml:space="preserve">held </w:t>
      </w:r>
      <w:r w:rsidR="00512E0C">
        <w:t>in person where it is safe to do so or by</w:t>
      </w:r>
      <w:r w:rsidRPr="007E03D4">
        <w:t xml:space="preserve"> video-conferencing and similar technology, to comply with social distancing requirements.</w:t>
      </w:r>
    </w:p>
    <w:p w14:paraId="2D025081" w14:textId="59A1B33D" w:rsidR="000A2873" w:rsidRPr="00EB5213" w:rsidRDefault="000A2873" w:rsidP="00EB5213">
      <w:pPr>
        <w:pStyle w:val="Subtitle"/>
        <w:numPr>
          <w:ilvl w:val="0"/>
          <w:numId w:val="1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rFonts w:cs="Arial"/>
          <w:u w:val="none"/>
        </w:rPr>
      </w:pPr>
      <w:r w:rsidRPr="00EB5213">
        <w:rPr>
          <w:rFonts w:cs="Arial"/>
          <w:u w:val="none"/>
        </w:rPr>
        <w:t xml:space="preserve">RELATIONSHIP &amp; ACCOUNTABILITIES WITH THE BOARD AND ITS COMMITTEES/GROUPS </w:t>
      </w:r>
    </w:p>
    <w:p w14:paraId="7853D3A5" w14:textId="25CF3B22" w:rsidR="00F356AE" w:rsidRPr="007E03D4" w:rsidRDefault="000A2873" w:rsidP="007E03D4">
      <w:pPr>
        <w:pStyle w:val="ListParagraph"/>
        <w:numPr>
          <w:ilvl w:val="1"/>
          <w:numId w:val="12"/>
        </w:numPr>
        <w:tabs>
          <w:tab w:val="left" w:pos="-1440"/>
        </w:tabs>
        <w:rPr>
          <w:rFonts w:cs="Arial"/>
          <w:szCs w:val="24"/>
        </w:rPr>
      </w:pPr>
      <w:r w:rsidRPr="007E03D4">
        <w:rPr>
          <w:rFonts w:cs="Arial"/>
          <w:szCs w:val="24"/>
        </w:rPr>
        <w:t xml:space="preserve">Although the Board has delegated authority to the </w:t>
      </w:r>
      <w:r w:rsidR="00512E0C" w:rsidRPr="003B4237">
        <w:rPr>
          <w:rFonts w:cs="Arial"/>
          <w:szCs w:val="24"/>
        </w:rPr>
        <w:t>TIIF Steering Group</w:t>
      </w:r>
      <w:r w:rsidR="00512E0C" w:rsidRPr="007E03D4">
        <w:rPr>
          <w:rFonts w:cs="Arial"/>
          <w:szCs w:val="24"/>
        </w:rPr>
        <w:t xml:space="preserve"> </w:t>
      </w:r>
      <w:r w:rsidRPr="007E03D4">
        <w:rPr>
          <w:rFonts w:cs="Arial"/>
          <w:szCs w:val="24"/>
        </w:rPr>
        <w:t xml:space="preserve">for the exercise of certain functions as set out within these terms of reference, it retains overall responsibility and accountability for </w:t>
      </w:r>
      <w:r w:rsidR="00512E0C">
        <w:rPr>
          <w:rFonts w:cs="Arial"/>
          <w:szCs w:val="24"/>
        </w:rPr>
        <w:t>delivering against the TIIF</w:t>
      </w:r>
      <w:r w:rsidRPr="007E03D4">
        <w:rPr>
          <w:rFonts w:cs="Arial"/>
          <w:szCs w:val="24"/>
        </w:rPr>
        <w:t xml:space="preserve">. </w:t>
      </w:r>
    </w:p>
    <w:p w14:paraId="04778E6B" w14:textId="77777777" w:rsidR="00D11914" w:rsidRDefault="000A2873" w:rsidP="00D11914">
      <w:pPr>
        <w:pStyle w:val="ListParagraph"/>
        <w:numPr>
          <w:ilvl w:val="1"/>
          <w:numId w:val="12"/>
        </w:numPr>
        <w:rPr>
          <w:rFonts w:cs="Arial"/>
          <w:szCs w:val="24"/>
        </w:rPr>
      </w:pPr>
      <w:r w:rsidRPr="007E03D4">
        <w:rPr>
          <w:rFonts w:cs="Arial"/>
          <w:szCs w:val="24"/>
        </w:rPr>
        <w:t xml:space="preserve">The </w:t>
      </w:r>
      <w:r w:rsidR="00512E0C" w:rsidRPr="003B4237">
        <w:rPr>
          <w:rFonts w:cs="Arial"/>
          <w:szCs w:val="24"/>
        </w:rPr>
        <w:t>TIIF Steering Group</w:t>
      </w:r>
      <w:r w:rsidR="00512E0C" w:rsidRPr="007E03D4">
        <w:rPr>
          <w:rFonts w:cs="Arial"/>
          <w:szCs w:val="24"/>
        </w:rPr>
        <w:t xml:space="preserve"> </w:t>
      </w:r>
      <w:r w:rsidRPr="007E03D4">
        <w:rPr>
          <w:rFonts w:cs="Arial"/>
          <w:szCs w:val="24"/>
        </w:rPr>
        <w:t>is directly accountable to the Board for its performance in exercising the functions set out in these Terms of Reference</w:t>
      </w:r>
      <w:r w:rsidR="009C66BC" w:rsidRPr="007E03D4">
        <w:rPr>
          <w:rFonts w:cs="Arial"/>
          <w:szCs w:val="24"/>
        </w:rPr>
        <w:t>.</w:t>
      </w:r>
    </w:p>
    <w:p w14:paraId="20C4E3AA" w14:textId="34ADFBAF" w:rsidR="00D11914" w:rsidRPr="00D11914" w:rsidRDefault="00D11914" w:rsidP="00D11914">
      <w:pPr>
        <w:pStyle w:val="ListParagraph"/>
        <w:numPr>
          <w:ilvl w:val="1"/>
          <w:numId w:val="12"/>
        </w:numPr>
        <w:rPr>
          <w:rFonts w:cs="Arial"/>
        </w:rPr>
      </w:pPr>
      <w:r w:rsidRPr="00D11914">
        <w:rPr>
          <w:rFonts w:cs="Arial"/>
          <w:color w:val="000000"/>
        </w:rPr>
        <w:t>The requirements of the conducts of business as set out in the Standing Orders are equally applicable to the operation of the Group with the exception of the quorum.</w:t>
      </w:r>
    </w:p>
    <w:p w14:paraId="78FBB4F0" w14:textId="56307218" w:rsidR="000A2873" w:rsidRPr="00EB5213" w:rsidRDefault="000A2873" w:rsidP="00EB5213">
      <w:pPr>
        <w:pStyle w:val="Subtitle"/>
        <w:numPr>
          <w:ilvl w:val="0"/>
          <w:numId w:val="1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rFonts w:cs="Arial"/>
          <w:u w:val="none"/>
        </w:rPr>
      </w:pPr>
      <w:r w:rsidRPr="00EB5213">
        <w:rPr>
          <w:rFonts w:cs="Arial"/>
          <w:u w:val="none"/>
        </w:rPr>
        <w:t>REPORTING AND ASSURANCE ARRANGEMENTS</w:t>
      </w:r>
    </w:p>
    <w:p w14:paraId="5B7BDADF" w14:textId="7A929A0B" w:rsidR="000A2873" w:rsidRPr="007E03D4" w:rsidRDefault="000A2873" w:rsidP="007E03D4">
      <w:pPr>
        <w:pStyle w:val="ListParagraph"/>
        <w:numPr>
          <w:ilvl w:val="1"/>
          <w:numId w:val="12"/>
        </w:numPr>
        <w:tabs>
          <w:tab w:val="left" w:pos="-1440"/>
        </w:tabs>
        <w:rPr>
          <w:rFonts w:cs="Arial"/>
          <w:szCs w:val="24"/>
        </w:rPr>
      </w:pPr>
      <w:r w:rsidRPr="007E03D4">
        <w:rPr>
          <w:rFonts w:cs="Arial"/>
          <w:szCs w:val="24"/>
        </w:rPr>
        <w:t xml:space="preserve">The </w:t>
      </w:r>
      <w:r w:rsidR="00512E0C" w:rsidRPr="003B4237">
        <w:rPr>
          <w:rFonts w:cs="Arial"/>
          <w:szCs w:val="24"/>
        </w:rPr>
        <w:t>TIIF Steering Group</w:t>
      </w:r>
      <w:r w:rsidR="00512E0C" w:rsidRPr="007E03D4">
        <w:rPr>
          <w:rFonts w:cs="Arial"/>
          <w:szCs w:val="24"/>
        </w:rPr>
        <w:t xml:space="preserve"> </w:t>
      </w:r>
      <w:r w:rsidRPr="007E03D4">
        <w:rPr>
          <w:rFonts w:cs="Arial"/>
          <w:szCs w:val="24"/>
        </w:rPr>
        <w:t>Chair shall:</w:t>
      </w:r>
    </w:p>
    <w:p w14:paraId="47E4A596" w14:textId="67226FE7" w:rsidR="000A2873" w:rsidRPr="007E03D4" w:rsidRDefault="006D4A3B" w:rsidP="00EB5213">
      <w:pPr>
        <w:pStyle w:val="ListParagraph"/>
        <w:numPr>
          <w:ilvl w:val="2"/>
          <w:numId w:val="12"/>
        </w:numPr>
        <w:ind w:left="1418" w:hanging="698"/>
        <w:rPr>
          <w:rFonts w:cs="Arial"/>
          <w:szCs w:val="24"/>
        </w:rPr>
      </w:pPr>
      <w:r w:rsidRPr="007E03D4">
        <w:rPr>
          <w:rFonts w:cs="Arial"/>
          <w:szCs w:val="24"/>
        </w:rPr>
        <w:t>R</w:t>
      </w:r>
      <w:r w:rsidR="000A2873" w:rsidRPr="007E03D4">
        <w:rPr>
          <w:rFonts w:cs="Arial"/>
          <w:szCs w:val="24"/>
        </w:rPr>
        <w:t>eport formally, regularly and on a timely ba</w:t>
      </w:r>
      <w:r w:rsidR="00481BBB" w:rsidRPr="007E03D4">
        <w:rPr>
          <w:rFonts w:cs="Arial"/>
          <w:szCs w:val="24"/>
        </w:rPr>
        <w:t xml:space="preserve">sis to the full Board on the </w:t>
      </w:r>
      <w:r w:rsidR="00512E0C" w:rsidRPr="003B4237">
        <w:rPr>
          <w:rFonts w:cs="Arial"/>
          <w:szCs w:val="24"/>
        </w:rPr>
        <w:t>TIIF Steering Group</w:t>
      </w:r>
      <w:r w:rsidR="00481BBB" w:rsidRPr="007E03D4">
        <w:rPr>
          <w:rFonts w:cs="Arial"/>
          <w:szCs w:val="24"/>
        </w:rPr>
        <w:t>’s activities</w:t>
      </w:r>
      <w:r w:rsidRPr="007E03D4">
        <w:rPr>
          <w:rFonts w:cs="Arial"/>
          <w:szCs w:val="24"/>
        </w:rPr>
        <w:t>;</w:t>
      </w:r>
    </w:p>
    <w:p w14:paraId="0F30F167" w14:textId="6D0AC677" w:rsidR="000A2873" w:rsidRDefault="006D4A3B" w:rsidP="00EB5213">
      <w:pPr>
        <w:pStyle w:val="ListParagraph"/>
        <w:numPr>
          <w:ilvl w:val="2"/>
          <w:numId w:val="12"/>
        </w:numPr>
        <w:ind w:left="1418" w:hanging="698"/>
        <w:rPr>
          <w:rFonts w:cs="Arial"/>
          <w:szCs w:val="24"/>
        </w:rPr>
      </w:pPr>
      <w:r w:rsidRPr="007E03D4">
        <w:rPr>
          <w:rFonts w:cs="Arial"/>
          <w:szCs w:val="24"/>
        </w:rPr>
        <w:t>E</w:t>
      </w:r>
      <w:r w:rsidR="000A2873" w:rsidRPr="007E03D4">
        <w:rPr>
          <w:rFonts w:cs="Arial"/>
          <w:szCs w:val="24"/>
        </w:rPr>
        <w:t xml:space="preserve">nsure appropriate escalation arrangements are in place to alert the </w:t>
      </w:r>
      <w:r w:rsidR="002F057F" w:rsidRPr="007E03D4">
        <w:rPr>
          <w:rFonts w:cs="Arial"/>
          <w:szCs w:val="24"/>
        </w:rPr>
        <w:t>full Board</w:t>
      </w:r>
      <w:r w:rsidR="000A2873" w:rsidRPr="007E03D4">
        <w:rPr>
          <w:rFonts w:cs="Arial"/>
          <w:szCs w:val="24"/>
        </w:rPr>
        <w:t xml:space="preserve"> of any urgent/critical matters that may affect the operation and/or reputation of the Health Board</w:t>
      </w:r>
      <w:r w:rsidRPr="007E03D4">
        <w:rPr>
          <w:rFonts w:cs="Arial"/>
          <w:szCs w:val="24"/>
        </w:rPr>
        <w:t>;</w:t>
      </w:r>
    </w:p>
    <w:p w14:paraId="516CB618" w14:textId="1CC67015" w:rsidR="00F70B3B" w:rsidRDefault="00EE2D4B" w:rsidP="00EB5213">
      <w:pPr>
        <w:pStyle w:val="ListParagraph"/>
        <w:numPr>
          <w:ilvl w:val="2"/>
          <w:numId w:val="12"/>
        </w:numPr>
        <w:ind w:left="1418" w:hanging="698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F70B3B">
        <w:rPr>
          <w:rFonts w:cs="Arial"/>
          <w:szCs w:val="24"/>
        </w:rPr>
        <w:t xml:space="preserve">he TI Evidence Group and TI Outcomes Group will report formally, regularly and on a timely basis to the TIIF Steering Group. </w:t>
      </w:r>
    </w:p>
    <w:p w14:paraId="03C68B22" w14:textId="77777777" w:rsidR="00EE2D4B" w:rsidRPr="007E03D4" w:rsidRDefault="00EE2D4B" w:rsidP="00EE2D4B">
      <w:pPr>
        <w:pStyle w:val="ListParagraph"/>
        <w:ind w:left="1418"/>
        <w:rPr>
          <w:rFonts w:cs="Arial"/>
          <w:szCs w:val="24"/>
        </w:rPr>
      </w:pPr>
    </w:p>
    <w:p w14:paraId="7EB9C246" w14:textId="63B5F93A" w:rsidR="000A2873" w:rsidRPr="00EB5213" w:rsidRDefault="00CC7E2C" w:rsidP="00EB5213">
      <w:pPr>
        <w:pStyle w:val="Subtitle"/>
        <w:numPr>
          <w:ilvl w:val="0"/>
          <w:numId w:val="1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rFonts w:cs="Arial"/>
          <w:u w:val="none"/>
        </w:rPr>
      </w:pPr>
      <w:r w:rsidRPr="00EB5213">
        <w:rPr>
          <w:rFonts w:cs="Arial"/>
          <w:u w:val="none"/>
        </w:rPr>
        <w:t>REVIEW</w:t>
      </w:r>
    </w:p>
    <w:p w14:paraId="53097FAE" w14:textId="33E2CFF7" w:rsidR="000A2873" w:rsidRPr="007E03D4" w:rsidRDefault="000A2873" w:rsidP="007E03D4">
      <w:pPr>
        <w:pStyle w:val="ListParagraph"/>
        <w:numPr>
          <w:ilvl w:val="1"/>
          <w:numId w:val="12"/>
        </w:numPr>
        <w:tabs>
          <w:tab w:val="center" w:pos="709"/>
        </w:tabs>
        <w:rPr>
          <w:rFonts w:cs="Arial"/>
          <w:bCs/>
          <w:szCs w:val="24"/>
        </w:rPr>
      </w:pPr>
      <w:r w:rsidRPr="007E03D4">
        <w:rPr>
          <w:rFonts w:cs="Arial"/>
          <w:bCs/>
          <w:szCs w:val="24"/>
        </w:rPr>
        <w:t xml:space="preserve">These terms of reference and operating arrangements shall be reviewed </w:t>
      </w:r>
      <w:r w:rsidR="003C0820" w:rsidRPr="007E03D4">
        <w:rPr>
          <w:rFonts w:cs="Arial"/>
          <w:bCs/>
          <w:szCs w:val="24"/>
        </w:rPr>
        <w:t xml:space="preserve">by the </w:t>
      </w:r>
      <w:r w:rsidR="00512E0C" w:rsidRPr="003B4237">
        <w:rPr>
          <w:rFonts w:cs="Arial"/>
          <w:szCs w:val="24"/>
        </w:rPr>
        <w:t>TIIF Steering Group</w:t>
      </w:r>
      <w:r w:rsidR="00512E0C" w:rsidRPr="007E03D4">
        <w:rPr>
          <w:rFonts w:cs="Arial"/>
          <w:szCs w:val="24"/>
        </w:rPr>
        <w:t xml:space="preserve"> </w:t>
      </w:r>
      <w:r w:rsidR="003C0820" w:rsidRPr="007E03D4">
        <w:rPr>
          <w:rFonts w:cs="Arial"/>
          <w:bCs/>
          <w:szCs w:val="24"/>
        </w:rPr>
        <w:t xml:space="preserve">as required by the Chair, and </w:t>
      </w:r>
      <w:r w:rsidR="00D11175" w:rsidRPr="007E03D4">
        <w:rPr>
          <w:rFonts w:cs="Arial"/>
          <w:bCs/>
          <w:szCs w:val="24"/>
        </w:rPr>
        <w:t xml:space="preserve">at least </w:t>
      </w:r>
      <w:r w:rsidR="00B21CA6">
        <w:rPr>
          <w:rFonts w:cs="Arial"/>
          <w:bCs/>
          <w:szCs w:val="24"/>
        </w:rPr>
        <w:t>every 6 month</w:t>
      </w:r>
      <w:r w:rsidR="003C0820" w:rsidRPr="007E03D4">
        <w:rPr>
          <w:rFonts w:cs="Arial"/>
          <w:bCs/>
          <w:szCs w:val="24"/>
        </w:rPr>
        <w:t xml:space="preserve">, with </w:t>
      </w:r>
      <w:r w:rsidRPr="007E03D4">
        <w:rPr>
          <w:rFonts w:cs="Arial"/>
          <w:bCs/>
          <w:szCs w:val="24"/>
        </w:rPr>
        <w:t xml:space="preserve">any changes recommended to the Board for approval. </w:t>
      </w:r>
    </w:p>
    <w:p w14:paraId="783F84FC" w14:textId="3C893946" w:rsidR="00CC7E2C" w:rsidRPr="00512E0C" w:rsidRDefault="00D22DBB" w:rsidP="007E03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0A2873" w:rsidRPr="007E03D4">
        <w:rPr>
          <w:rFonts w:ascii="Arial" w:hAnsi="Arial" w:cs="Arial"/>
          <w:b/>
          <w:bCs/>
        </w:rPr>
        <w:t>ate of approval</w:t>
      </w:r>
      <w:r w:rsidR="000173CC" w:rsidRPr="007E03D4">
        <w:rPr>
          <w:rFonts w:ascii="Arial" w:hAnsi="Arial" w:cs="Arial"/>
          <w:b/>
          <w:bCs/>
        </w:rPr>
        <w:t>:</w:t>
      </w:r>
      <w:r w:rsidR="008B6984" w:rsidRPr="007E03D4">
        <w:rPr>
          <w:rFonts w:ascii="Arial" w:hAnsi="Arial" w:cs="Arial"/>
          <w:b/>
          <w:bCs/>
        </w:rPr>
        <w:t xml:space="preserve"> </w:t>
      </w:r>
      <w:r w:rsidR="00EE2D4B">
        <w:rPr>
          <w:rFonts w:ascii="Arial" w:hAnsi="Arial" w:cs="Arial"/>
          <w:b/>
          <w:bCs/>
        </w:rPr>
        <w:t xml:space="preserve">21/01/2022 </w:t>
      </w:r>
    </w:p>
    <w:p w14:paraId="6D3C9EFA" w14:textId="52CA8D94" w:rsidR="00AC773F" w:rsidRPr="007E03D4" w:rsidRDefault="00AC773F" w:rsidP="007E03D4">
      <w:pPr>
        <w:rPr>
          <w:rFonts w:ascii="Arial" w:hAnsi="Arial" w:cs="Arial"/>
        </w:rPr>
      </w:pPr>
    </w:p>
    <w:sectPr w:rsidR="00AC773F" w:rsidRPr="007E03D4" w:rsidSect="00512E0C">
      <w:headerReference w:type="default" r:id="rId8"/>
      <w:footerReference w:type="default" r:id="rId9"/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019A4E" w16cid:durableId="20D1EB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2C36E" w14:textId="77777777" w:rsidR="00B975C8" w:rsidRDefault="00B975C8" w:rsidP="00F356AE">
      <w:r>
        <w:separator/>
      </w:r>
    </w:p>
  </w:endnote>
  <w:endnote w:type="continuationSeparator" w:id="0">
    <w:p w14:paraId="2D32577A" w14:textId="77777777" w:rsidR="00B975C8" w:rsidRDefault="00B975C8" w:rsidP="00F3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45D22" w14:textId="57BB77D7" w:rsidR="00481BBB" w:rsidRPr="00A2501A" w:rsidRDefault="00A2501A">
    <w:pPr>
      <w:pStyle w:val="Footer"/>
      <w:rPr>
        <w:rFonts w:ascii="Arial" w:hAnsi="Arial" w:cs="Arial"/>
      </w:rPr>
    </w:pPr>
    <w:r>
      <w:rPr>
        <w:rFonts w:ascii="Arial" w:hAnsi="Arial" w:cs="Arial"/>
      </w:rPr>
      <w:t>V</w:t>
    </w:r>
    <w:r w:rsidR="00560DBA">
      <w:rPr>
        <w:rFonts w:ascii="Arial" w:hAnsi="Arial" w:cs="Arial"/>
      </w:rPr>
      <w:t>3.0</w:t>
    </w:r>
    <w:r w:rsidR="0060273C">
      <w:rPr>
        <w:rFonts w:ascii="Arial" w:hAnsi="Arial" w:cs="Arial"/>
      </w:rPr>
      <w:t>3</w:t>
    </w:r>
    <w:r w:rsidR="00481BBB" w:rsidRPr="00A2501A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73C74" w14:textId="77777777" w:rsidR="00B975C8" w:rsidRDefault="00B975C8" w:rsidP="00F356AE">
      <w:r>
        <w:separator/>
      </w:r>
    </w:p>
  </w:footnote>
  <w:footnote w:type="continuationSeparator" w:id="0">
    <w:p w14:paraId="12D94BD2" w14:textId="77777777" w:rsidR="00B975C8" w:rsidRDefault="00B975C8" w:rsidP="00F35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54887"/>
      <w:docPartObj>
        <w:docPartGallery w:val="Page Numbers (Top of Page)"/>
        <w:docPartUnique/>
      </w:docPartObj>
    </w:sdtPr>
    <w:sdtEndPr/>
    <w:sdtContent>
      <w:p w14:paraId="51D85BB5" w14:textId="5EB4A393" w:rsidR="00F356AE" w:rsidRDefault="001361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C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430B10" w14:textId="77777777" w:rsidR="00F356AE" w:rsidRDefault="00F35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300"/>
    <w:multiLevelType w:val="hybridMultilevel"/>
    <w:tmpl w:val="ADBECCDA"/>
    <w:lvl w:ilvl="0" w:tplc="04090001">
      <w:start w:val="1"/>
      <w:numFmt w:val="bullet"/>
      <w:lvlText w:val=""/>
      <w:lvlJc w:val="left"/>
      <w:pPr>
        <w:ind w:left="-60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40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4166E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5010C7"/>
    <w:multiLevelType w:val="hybridMultilevel"/>
    <w:tmpl w:val="A00463E6"/>
    <w:lvl w:ilvl="0" w:tplc="0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5656E"/>
    <w:multiLevelType w:val="hybridMultilevel"/>
    <w:tmpl w:val="D890CB44"/>
    <w:lvl w:ilvl="0" w:tplc="04090001">
      <w:start w:val="1"/>
      <w:numFmt w:val="bullet"/>
      <w:lvlText w:val=""/>
      <w:lvlJc w:val="left"/>
      <w:pPr>
        <w:ind w:left="-60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22927D31"/>
    <w:multiLevelType w:val="hybridMultilevel"/>
    <w:tmpl w:val="46F47B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3042E5"/>
    <w:multiLevelType w:val="hybridMultilevel"/>
    <w:tmpl w:val="B2EEE7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7364BD"/>
    <w:multiLevelType w:val="hybridMultilevel"/>
    <w:tmpl w:val="84067C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7827A4"/>
    <w:multiLevelType w:val="multilevel"/>
    <w:tmpl w:val="025E1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3551AD"/>
    <w:multiLevelType w:val="hybridMultilevel"/>
    <w:tmpl w:val="625855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EC607D"/>
    <w:multiLevelType w:val="multilevel"/>
    <w:tmpl w:val="025E1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147908"/>
    <w:multiLevelType w:val="hybridMultilevel"/>
    <w:tmpl w:val="0D443E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0A0CE0"/>
    <w:multiLevelType w:val="hybridMultilevel"/>
    <w:tmpl w:val="6BDA1E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6463E"/>
    <w:multiLevelType w:val="hybridMultilevel"/>
    <w:tmpl w:val="0E7C1966"/>
    <w:lvl w:ilvl="0" w:tplc="0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372F15"/>
    <w:multiLevelType w:val="multilevel"/>
    <w:tmpl w:val="CF0ED83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  <w:num w:numId="13">
    <w:abstractNumId w:val="11"/>
  </w:num>
  <w:num w:numId="14">
    <w:abstractNumId w:val="1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73"/>
    <w:rsid w:val="00015354"/>
    <w:rsid w:val="000173CC"/>
    <w:rsid w:val="00026E85"/>
    <w:rsid w:val="00036F6D"/>
    <w:rsid w:val="00040ACB"/>
    <w:rsid w:val="00046BF2"/>
    <w:rsid w:val="00054840"/>
    <w:rsid w:val="000631D1"/>
    <w:rsid w:val="00066B42"/>
    <w:rsid w:val="000741FD"/>
    <w:rsid w:val="00085AF0"/>
    <w:rsid w:val="00093E0D"/>
    <w:rsid w:val="000A2873"/>
    <w:rsid w:val="000D0DF8"/>
    <w:rsid w:val="000D0F11"/>
    <w:rsid w:val="000E5D13"/>
    <w:rsid w:val="00106B2E"/>
    <w:rsid w:val="001112DE"/>
    <w:rsid w:val="00121394"/>
    <w:rsid w:val="0012430D"/>
    <w:rsid w:val="001361E7"/>
    <w:rsid w:val="00144C76"/>
    <w:rsid w:val="00156321"/>
    <w:rsid w:val="00175FA6"/>
    <w:rsid w:val="0018139A"/>
    <w:rsid w:val="001972D8"/>
    <w:rsid w:val="001C138C"/>
    <w:rsid w:val="001C79EC"/>
    <w:rsid w:val="001C7A1F"/>
    <w:rsid w:val="001D22DE"/>
    <w:rsid w:val="001E1D73"/>
    <w:rsid w:val="001F4715"/>
    <w:rsid w:val="00204E6F"/>
    <w:rsid w:val="00263DCB"/>
    <w:rsid w:val="002B775E"/>
    <w:rsid w:val="002F057F"/>
    <w:rsid w:val="003027CA"/>
    <w:rsid w:val="0030725C"/>
    <w:rsid w:val="003201CC"/>
    <w:rsid w:val="00327F7C"/>
    <w:rsid w:val="0035403D"/>
    <w:rsid w:val="003620C2"/>
    <w:rsid w:val="00370BDB"/>
    <w:rsid w:val="00385519"/>
    <w:rsid w:val="00392144"/>
    <w:rsid w:val="003A3B5B"/>
    <w:rsid w:val="003B03D3"/>
    <w:rsid w:val="003B4237"/>
    <w:rsid w:val="003C0820"/>
    <w:rsid w:val="003D1DE1"/>
    <w:rsid w:val="004209DB"/>
    <w:rsid w:val="0045771A"/>
    <w:rsid w:val="004602BB"/>
    <w:rsid w:val="00473C0C"/>
    <w:rsid w:val="00481BBB"/>
    <w:rsid w:val="00486103"/>
    <w:rsid w:val="004A6EFA"/>
    <w:rsid w:val="004D26E6"/>
    <w:rsid w:val="005011E3"/>
    <w:rsid w:val="00512E0C"/>
    <w:rsid w:val="0052012D"/>
    <w:rsid w:val="00536688"/>
    <w:rsid w:val="00560DBA"/>
    <w:rsid w:val="00562EC4"/>
    <w:rsid w:val="0056660C"/>
    <w:rsid w:val="00582CB7"/>
    <w:rsid w:val="005A0D86"/>
    <w:rsid w:val="005B18B9"/>
    <w:rsid w:val="005B4E3D"/>
    <w:rsid w:val="005E16B2"/>
    <w:rsid w:val="005F6ED3"/>
    <w:rsid w:val="0060273C"/>
    <w:rsid w:val="00662A4B"/>
    <w:rsid w:val="00694AB8"/>
    <w:rsid w:val="006D4A3B"/>
    <w:rsid w:val="00713997"/>
    <w:rsid w:val="00717123"/>
    <w:rsid w:val="00755DD7"/>
    <w:rsid w:val="007620FC"/>
    <w:rsid w:val="00762A47"/>
    <w:rsid w:val="00771A98"/>
    <w:rsid w:val="007C0A5E"/>
    <w:rsid w:val="007D089C"/>
    <w:rsid w:val="007E03D4"/>
    <w:rsid w:val="007F3443"/>
    <w:rsid w:val="008233F1"/>
    <w:rsid w:val="00854C82"/>
    <w:rsid w:val="00872E04"/>
    <w:rsid w:val="00875EE5"/>
    <w:rsid w:val="008818CB"/>
    <w:rsid w:val="00895D3B"/>
    <w:rsid w:val="008A5ACC"/>
    <w:rsid w:val="008B3E8C"/>
    <w:rsid w:val="008B6984"/>
    <w:rsid w:val="00910A82"/>
    <w:rsid w:val="009127B6"/>
    <w:rsid w:val="0091559C"/>
    <w:rsid w:val="00932173"/>
    <w:rsid w:val="00940B2D"/>
    <w:rsid w:val="0095656C"/>
    <w:rsid w:val="00965D45"/>
    <w:rsid w:val="00973BBD"/>
    <w:rsid w:val="009C5D7F"/>
    <w:rsid w:val="009C66BC"/>
    <w:rsid w:val="009D7A3C"/>
    <w:rsid w:val="00A0493E"/>
    <w:rsid w:val="00A101C4"/>
    <w:rsid w:val="00A21E49"/>
    <w:rsid w:val="00A2501A"/>
    <w:rsid w:val="00A463C2"/>
    <w:rsid w:val="00A51049"/>
    <w:rsid w:val="00A97D84"/>
    <w:rsid w:val="00AC3CD1"/>
    <w:rsid w:val="00AC773F"/>
    <w:rsid w:val="00B03ADE"/>
    <w:rsid w:val="00B04739"/>
    <w:rsid w:val="00B21CA6"/>
    <w:rsid w:val="00B24BF7"/>
    <w:rsid w:val="00B369CB"/>
    <w:rsid w:val="00B4073D"/>
    <w:rsid w:val="00B975C8"/>
    <w:rsid w:val="00BA2286"/>
    <w:rsid w:val="00BB7800"/>
    <w:rsid w:val="00BD2815"/>
    <w:rsid w:val="00BE72FD"/>
    <w:rsid w:val="00C11509"/>
    <w:rsid w:val="00C20763"/>
    <w:rsid w:val="00C37949"/>
    <w:rsid w:val="00C61D56"/>
    <w:rsid w:val="00C96F3A"/>
    <w:rsid w:val="00CA533A"/>
    <w:rsid w:val="00CB0C10"/>
    <w:rsid w:val="00CB5BD2"/>
    <w:rsid w:val="00CC7E2C"/>
    <w:rsid w:val="00CD5BA6"/>
    <w:rsid w:val="00D11175"/>
    <w:rsid w:val="00D11914"/>
    <w:rsid w:val="00D22DBB"/>
    <w:rsid w:val="00D25535"/>
    <w:rsid w:val="00D50841"/>
    <w:rsid w:val="00D5600A"/>
    <w:rsid w:val="00D70FDD"/>
    <w:rsid w:val="00D84C8B"/>
    <w:rsid w:val="00DA00C1"/>
    <w:rsid w:val="00DA1C59"/>
    <w:rsid w:val="00DA610C"/>
    <w:rsid w:val="00DA6E6E"/>
    <w:rsid w:val="00DB1B72"/>
    <w:rsid w:val="00DB5B3D"/>
    <w:rsid w:val="00DE4B39"/>
    <w:rsid w:val="00DF5079"/>
    <w:rsid w:val="00DF78A1"/>
    <w:rsid w:val="00E01D43"/>
    <w:rsid w:val="00E17E66"/>
    <w:rsid w:val="00E22EB4"/>
    <w:rsid w:val="00E50ABE"/>
    <w:rsid w:val="00EB05A3"/>
    <w:rsid w:val="00EB5213"/>
    <w:rsid w:val="00ED71F8"/>
    <w:rsid w:val="00EE2D4B"/>
    <w:rsid w:val="00F07665"/>
    <w:rsid w:val="00F255A4"/>
    <w:rsid w:val="00F34ADE"/>
    <w:rsid w:val="00F356AE"/>
    <w:rsid w:val="00F451FB"/>
    <w:rsid w:val="00F65CE6"/>
    <w:rsid w:val="00F70B3B"/>
    <w:rsid w:val="00F86CB0"/>
    <w:rsid w:val="00F94CF1"/>
    <w:rsid w:val="00F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9B7B97"/>
  <w15:docId w15:val="{723F6C3F-10B5-479A-ADF9-8E97E84A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EB5213"/>
    <w:pPr>
      <w:widowControl/>
      <w:autoSpaceDE/>
      <w:autoSpaceDN/>
      <w:adjustRightInd/>
      <w:spacing w:after="240"/>
    </w:pPr>
    <w:rPr>
      <w:rFonts w:ascii="Arial" w:hAnsi="Arial"/>
      <w:b/>
      <w:bCs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EB5213"/>
    <w:rPr>
      <w:rFonts w:ascii="Arial" w:eastAsia="Times New Roman" w:hAnsi="Arial" w:cs="Times New Roman"/>
      <w:b/>
      <w:bCs/>
      <w:sz w:val="24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EB5213"/>
    <w:pPr>
      <w:widowControl/>
      <w:autoSpaceDE/>
      <w:autoSpaceDN/>
      <w:adjustRightInd/>
      <w:spacing w:after="240"/>
      <w:ind w:left="720"/>
    </w:pPr>
    <w:rPr>
      <w:rFonts w:ascii="Arial" w:eastAsia="Calibri" w:hAnsi="Arial"/>
      <w:szCs w:val="22"/>
      <w:lang w:val="en-US"/>
    </w:rPr>
  </w:style>
  <w:style w:type="paragraph" w:customStyle="1" w:styleId="StyleOutlinenumberedArialOutlinenumberedArial11Outli">
    <w:name w:val="Style Outline numbered Arial + Outline numbered Arial 1...1 + Outli..."/>
    <w:basedOn w:val="Normal"/>
    <w:rsid w:val="000A2873"/>
    <w:rPr>
      <w:rFonts w:ascii="Arial" w:hAnsi="Arial" w:cs="Arial"/>
      <w:b/>
      <w:bCs/>
    </w:rPr>
  </w:style>
  <w:style w:type="paragraph" w:customStyle="1" w:styleId="Default">
    <w:name w:val="Default"/>
    <w:rsid w:val="000A28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5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6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0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6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1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1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76626-665A-48A4-A17E-D8AB5E96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Ka109599</dc:creator>
  <cp:lastModifiedBy>Laura Jones (BCUHB - Corporate Office)</cp:lastModifiedBy>
  <cp:revision>2</cp:revision>
  <cp:lastPrinted>2019-06-13T14:14:00Z</cp:lastPrinted>
  <dcterms:created xsi:type="dcterms:W3CDTF">2022-05-03T13:48:00Z</dcterms:created>
  <dcterms:modified xsi:type="dcterms:W3CDTF">2022-05-03T13:48:00Z</dcterms:modified>
</cp:coreProperties>
</file>